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30"/>
      </w:pPr>
      <w:r>
        <w:rPr>
          <w:rFonts w:ascii="Arial" w:cs="Arial" w:eastAsia="Arial" w:hAnsi="Arial"/>
          <w:b/>
          <w:bCs/>
          <w:color w:val="1F3864"/>
          <w:sz w:val="52"/>
          <w:szCs w:val="52"/>
        </w:rPr>
        <w:t xml:space="preserve">Luka Bear™</w:t>
      </w:r>
    </w:p>
    <w:p>
      <w:pPr>
        <w:spacing w:after="20"/>
      </w:pPr>
      <w:r>
        <w:rPr>
          <w:rFonts w:ascii="Arial" w:cs="Arial" w:eastAsia="Arial" w:hAnsi="Arial"/>
          <w:b/>
          <w:bCs/>
          <w:color w:val="2E75B6"/>
          <w:sz w:val="34"/>
          <w:szCs w:val="34"/>
        </w:rPr>
        <w:t xml:space="preserve">LTC Insurance — Alternate Plan of Care Outreach Brief</w:t>
      </w:r>
    </w:p>
    <w:p>
      <w:pPr>
        <w:spacing w:after="20"/>
      </w:pPr>
      <w:r>
        <w:rPr>
          <w:rFonts w:ascii="Arial" w:cs="Arial" w:eastAsia="Arial" w:hAnsi="Arial"/>
          <w:color w:val="555555"/>
          <w:sz w:val="20"/>
          <w:szCs w:val="20"/>
        </w:rPr>
        <w:t xml:space="preserve">How to get Luka Bear funded through Long-Term Care insurance policies</w:t>
      </w:r>
    </w:p>
    <w:p>
      <w:pPr>
        <w:spacing w:after="160"/>
      </w:pPr>
      <w:r>
        <w:rPr>
          <w:rFonts w:ascii="Arial" w:cs="Arial" w:eastAsia="Arial" w:hAnsi="Arial"/>
          <w:color w:val="555555"/>
          <w:sz w:val="18"/>
          <w:szCs w:val="18"/>
        </w:rPr>
        <w:t xml:space="preserve">Eldercare Robotics LLC  ·  Confidential  ·  April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50"/>
              <w:bottom w:type="dxa" w:w="50"/>
            </w:tcMar>
          </w:tcPr>
          <w:p>
            <w:r>
              <w:t xml:space="preserve"> </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7145" w:val="clear"/>
            <w:tcMar>
              <w:top w:type="dxa" w:w="110"/>
              <w:left w:type="dxa" w:w="200"/>
              <w:bottom w:type="dxa" w:w="110"/>
              <w:right w:type="dxa" w:w="200"/>
            </w:tcMar>
          </w:tcPr>
          <w:p>
            <w:r>
              <w:rPr>
                <w:rFonts w:ascii="Arial" w:cs="Arial" w:eastAsia="Arial" w:hAnsi="Arial"/>
                <w:b/>
                <w:bCs/>
                <w:color w:val="FFFFFF"/>
                <w:sz w:val="24"/>
                <w:szCs w:val="24"/>
              </w:rPr>
              <w:t xml:space="preserve">1.  THE CORE STRATEGY — INSURERS WANT A CHEAPER OPTION</w:t>
            </w:r>
          </w:p>
        </w:tc>
      </w:tr>
    </w:tbl>
    <w:p>
      <w:pPr>
        <w:spacing w:after="80"/>
      </w:pPr>
    </w:p>
    <w:p>
      <w:pPr>
        <w:spacing w:after="60"/>
      </w:pPr>
      <w:r>
        <w:rPr>
          <w:rFonts w:ascii="Arial" w:cs="Arial" w:eastAsia="Arial" w:hAnsi="Arial"/>
          <w:b/>
          <w:bCs/>
          <w:color w:val="1F3864"/>
          <w:sz w:val="20"/>
          <w:szCs w:val="20"/>
        </w:rPr>
        <w:t xml:space="preserve">LTC insurers pay $4,000–$10,000/month for human caregivers. The Alternate Plan of Care (APC) provision lets them pay for cheaper alternatives that still meet the care need. Luka becomes the approved, far less expensive option. Insurers actively want this deal.</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C65911" w:val="clear"/>
            <w:tcMar>
              <w:top w:type="dxa" w:w="100"/>
              <w:left w:type="dxa" w:w="150"/>
              <w:bottom w:type="dxa" w:w="100"/>
              <w:right w:type="dxa" w:w="150"/>
            </w:tcMar>
          </w:tcPr>
          <w:p>
            <w:pPr>
              <w:spacing w:after="20"/>
              <w:jc w:val="center"/>
            </w:pPr>
            <w:r>
              <w:rPr>
                <w:rFonts w:ascii="Arial" w:cs="Arial" w:eastAsia="Arial" w:hAnsi="Arial"/>
                <w:b/>
                <w:bCs/>
                <w:color w:val="FFFFFF"/>
                <w:sz w:val="44"/>
                <w:szCs w:val="44"/>
              </w:rPr>
              <w:t xml:space="preserve">$4,000+</w:t>
            </w:r>
          </w:p>
          <w:p>
            <w:pPr>
              <w:jc w:val="center"/>
            </w:pPr>
            <w:r>
              <w:rPr>
                <w:rFonts w:ascii="Arial" w:cs="Arial" w:eastAsia="Arial" w:hAnsi="Arial"/>
                <w:color w:val="FFFFFF"/>
                <w:sz w:val="17"/>
                <w:szCs w:val="17"/>
              </w:rPr>
              <w:t xml:space="preserve">Typical monthly LTC insurer payout for human care</w:t>
            </w:r>
          </w:p>
        </w:tc>
        <w:tc>
          <w:tcPr>
            <w:tcW w:type="dxa" w:w="3120"/>
            <w:tcBorders>
              <w:top w:val="single" w:color="CCCCCC" w:sz="1"/>
              <w:left w:val="single" w:color="CCCCCC" w:sz="1"/>
              <w:bottom w:val="single" w:color="CCCCCC" w:sz="1"/>
              <w:right w:val="single" w:color="CCCCCC" w:sz="1"/>
            </w:tcBorders>
            <w:shd w:fill="1E7145" w:val="clear"/>
            <w:tcMar>
              <w:top w:type="dxa" w:w="100"/>
              <w:left w:type="dxa" w:w="150"/>
              <w:bottom w:type="dxa" w:w="100"/>
              <w:right w:type="dxa" w:w="150"/>
            </w:tcMar>
          </w:tcPr>
          <w:p>
            <w:pPr>
              <w:spacing w:after="20"/>
              <w:jc w:val="center"/>
            </w:pPr>
            <w:r>
              <w:rPr>
                <w:rFonts w:ascii="Arial" w:cs="Arial" w:eastAsia="Arial" w:hAnsi="Arial"/>
                <w:b/>
                <w:bCs/>
                <w:color w:val="FFFFFF"/>
                <w:sz w:val="44"/>
                <w:szCs w:val="44"/>
              </w:rPr>
              <w:t xml:space="preserve">$99–$179</w:t>
            </w:r>
          </w:p>
          <w:p>
            <w:pPr>
              <w:jc w:val="center"/>
            </w:pPr>
            <w:r>
              <w:rPr>
                <w:rFonts w:ascii="Arial" w:cs="Arial" w:eastAsia="Arial" w:hAnsi="Arial"/>
                <w:color w:val="FFFFFF"/>
                <w:sz w:val="17"/>
                <w:szCs w:val="17"/>
              </w:rPr>
              <w:t xml:space="preserve">Luka monthly rental — fraction of what insurers are already paying</w:t>
            </w:r>
          </w:p>
        </w:tc>
        <w:tc>
          <w:tcPr>
            <w:tcW w:type="dxa" w:w="3120"/>
            <w:tcBorders>
              <w:top w:val="single" w:color="CCCCCC" w:sz="1"/>
              <w:left w:val="single" w:color="CCCCCC" w:sz="1"/>
              <w:bottom w:val="single" w:color="CCCCCC" w:sz="1"/>
              <w:right w:val="single" w:color="CCCCCC" w:sz="1"/>
            </w:tcBorders>
            <w:shd w:fill="2E75B6" w:val="clear"/>
            <w:tcMar>
              <w:top w:type="dxa" w:w="100"/>
              <w:left w:type="dxa" w:w="150"/>
              <w:bottom w:type="dxa" w:w="100"/>
              <w:right w:type="dxa" w:w="150"/>
            </w:tcMar>
          </w:tcPr>
          <w:p>
            <w:pPr>
              <w:spacing w:after="20"/>
              <w:jc w:val="center"/>
            </w:pPr>
            <w:r>
              <w:rPr>
                <w:rFonts w:ascii="Arial" w:cs="Arial" w:eastAsia="Arial" w:hAnsi="Arial"/>
                <w:b/>
                <w:bCs/>
                <w:color w:val="FFFFFF"/>
                <w:sz w:val="44"/>
                <w:szCs w:val="44"/>
              </w:rPr>
              <w:t xml:space="preserve">4–8 wks</w:t>
            </w:r>
          </w:p>
          <w:p>
            <w:pPr>
              <w:jc w:val="center"/>
            </w:pPr>
            <w:r>
              <w:rPr>
                <w:rFonts w:ascii="Arial" w:cs="Arial" w:eastAsia="Arial" w:hAnsi="Arial"/>
                <w:color w:val="FFFFFF"/>
                <w:sz w:val="17"/>
                <w:szCs w:val="17"/>
              </w:rPr>
              <w:t xml:space="preserve">Typical APC approval timeline — no clinical trial required</w:t>
            </w:r>
          </w:p>
        </w:tc>
      </w:tr>
    </w:tbl>
    <w:p>
      <w:pPr>
        <w:spacing w:after="80"/>
      </w:pPr>
    </w:p>
    <w:p>
      <w:pPr>
        <w:spacing w:before="60" w:after="80"/>
        <w:ind w:left="160"/>
      </w:pPr>
      <w:r>
        <w:rPr>
          <w:rFonts w:ascii="Arial" w:cs="Arial" w:eastAsia="Arial" w:hAnsi="Arial"/>
          <w:b/>
          <w:bCs/>
          <w:color w:val="C65911"/>
          <w:sz w:val="18"/>
          <w:szCs w:val="18"/>
        </w:rPr>
        <w:t xml:space="preserve">⚠️  Lead with the cost savings every time: 'Luka costs $99-$179/month versus $4,000+ for human care. Your insurer saves thousands per month by approving Luka under the Alternate Plan of Care provision.'</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2.  THE ALTERNATE PLAN OF CARE PROVISION</w:t>
            </w:r>
          </w:p>
        </w:tc>
      </w:tr>
    </w:tbl>
    <w:p>
      <w:pPr>
        <w:spacing w:after="80"/>
      </w:pPr>
    </w:p>
    <w:p>
      <w:pPr>
        <w:spacing w:after="60"/>
      </w:pPr>
      <w:r>
        <w:rPr>
          <w:rFonts w:ascii="Arial" w:cs="Arial" w:eastAsia="Arial" w:hAnsi="Arial"/>
          <w:b w:val="false"/>
          <w:bCs w:val="false"/>
          <w:color w:val="222222"/>
          <w:sz w:val="20"/>
          <w:szCs w:val="20"/>
        </w:rPr>
        <w:t xml:space="preserve">Most LTC policies include an APC clause allowing the insurer to fund alternatives to the standard care plan when: (1) the alternative meets the insured's needs, (2) costs less, and (3) both parties agree. Luka fits precisely.</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4000"/>
        <w:gridCol w:w="3360"/>
      </w:tblGrid>
      <w:tr>
        <w:tc>
          <w:tcPr>
            <w:tcW w:type="dxa" w:w="20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Major LTC Insurer</w:t>
            </w:r>
          </w:p>
        </w:tc>
        <w:tc>
          <w:tcPr>
            <w:tcW w:type="dxa" w:w="40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APC Clause (typical language)</w:t>
            </w:r>
          </w:p>
        </w:tc>
        <w:tc>
          <w:tcPr>
            <w:tcW w:type="dxa" w:w="33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Luka fit</w:t>
            </w:r>
          </w:p>
        </w:tc>
      </w:tr>
      <w:tr>
        <w:tc>
          <w:tcPr>
            <w:tcW w:type="dxa" w:w="20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Genworth Financial</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'Benefits for alternate care when both parties agree the plan meets the insured's needs'</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Clear cost saving argument — nighttime and repetitive question substitution</w:t>
            </w:r>
          </w:p>
        </w:tc>
      </w:tr>
      <w:tr>
        <w:tc>
          <w:tcPr>
            <w:tcW w:type="dxa" w:w="20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Transamerica</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'Innovative care options that maintain or improve function while reducing care costs'</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Luka is explicitly an innovative care option with documented functional support</w:t>
            </w:r>
          </w:p>
        </w:tc>
      </w:tr>
      <w:tr>
        <w:tc>
          <w:tcPr>
            <w:tcW w:type="dxa" w:w="20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Mutual of Omaha</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'Alternate Plan of Care when costs are lower and care needs are equally met'</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Cost comparison is overwhelming — $99-$179/mo vs $4,000+/mo</w:t>
            </w:r>
          </w:p>
        </w:tc>
      </w:tr>
      <w:tr>
        <w:tc>
          <w:tcPr>
            <w:tcW w:type="dxa" w:w="20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John Hancock</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'Alternative care benefit subject to mutual agreement and medical necessity review'</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LMN + pilot evidence covers medical necessity component</w:t>
            </w:r>
          </w:p>
        </w:tc>
      </w:tr>
      <w:tr>
        <w:tc>
          <w:tcPr>
            <w:tcW w:type="dxa" w:w="20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New York Life</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'Non-traditional care options may be covered when functionally appropriate'</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Functional appropriateness documented at portal.lukabear.org/evidence-dashboard</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3.  DOCUMENTATION PACKAGE</w:t>
            </w:r>
          </w:p>
        </w:tc>
      </w:tr>
    </w:tbl>
    <w:p>
      <w:pPr>
        <w:spacing w:after="80"/>
      </w:pPr>
    </w:p>
    <w:p>
      <w:pPr>
        <w:spacing w:after="60"/>
      </w:pPr>
      <w:r>
        <w:rPr>
          <w:rFonts w:ascii="Arial" w:cs="Arial" w:eastAsia="Arial" w:hAnsi="Arial"/>
          <w:b w:val="false"/>
          <w:bCs w:val="false"/>
          <w:color w:val="222222"/>
          <w:sz w:val="20"/>
          <w:szCs w:val="20"/>
        </w:rPr>
        <w:t xml:space="preserve">Build this package before approaching the insurer. Every piece has a template in the portal.</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160"/>
        <w:gridCol w:w="3400"/>
      </w:tblGrid>
      <w:tr>
        <w:tc>
          <w:tcPr>
            <w:tcW w:type="dxa" w:w="28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Document needed</w:t>
            </w:r>
          </w:p>
        </w:tc>
        <w:tc>
          <w:tcPr>
            <w:tcW w:type="dxa" w:w="31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Where to find it</w:t>
            </w:r>
          </w:p>
        </w:tc>
        <w:tc>
          <w:tcPr>
            <w:tcW w:type="dxa" w:w="34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When to use it</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Letter of Medical Necessity</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portal.lukabear.org/documentation-library → LTC section</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Core document — physician states diagnosis, functional needs, why Luka addresses them</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Cost comparison sheet</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portal.lukabear.org/documentation-library → Cost Comparison</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Show insurer: current monthly benefit payout vs. Luka cost — the savings argument</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Caregiver burden statement</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Family caregiver writes — 2-3 paragraphs</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Describes nighttime burden, repetitive questions, daily supervision need Luka addresses</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Vendor quote</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eldercarerobotics.net/pricing-plans</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Formal pricing documentation for insurer's records</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Live pilot evidence</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portal.lukabear.org/evidence-dashboard</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Optional but powerful — shareable URL showing real-world outcomes</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Full LTC package</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portal.lukabear.org/ltc-documentation-package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Complete pre-formatted submission package — ready to send</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4.  PRICING</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1400"/>
        <w:gridCol w:w="1400"/>
        <w:gridCol w:w="1560"/>
        <w:gridCol w:w="1200"/>
      </w:tblGrid>
      <w:tr>
        <w:tc>
          <w:tcPr>
            <w:tcW w:type="dxa" w:w="16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Model</w:t>
            </w:r>
          </w:p>
        </w:tc>
        <w:tc>
          <w:tcPr>
            <w:tcW w:type="dxa" w:w="12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Screen</w:t>
            </w:r>
          </w:p>
        </w:tc>
        <w:tc>
          <w:tcPr>
            <w:tcW w:type="dxa" w:w="14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Monthly Rental</w:t>
            </w:r>
          </w:p>
        </w:tc>
        <w:tc>
          <w:tcPr>
            <w:tcW w:type="dxa" w:w="14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Own It — Device</w:t>
            </w:r>
          </w:p>
        </w:tc>
        <w:tc>
          <w:tcPr>
            <w:tcW w:type="dxa" w:w="15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Own It — Service</w:t>
            </w:r>
          </w:p>
        </w:tc>
        <w:tc>
          <w:tcPr>
            <w:tcW w:type="dxa" w:w="12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Max Users</w:t>
            </w:r>
          </w:p>
        </w:tc>
      </w:tr>
      <w:tr>
        <w:tc>
          <w:tcPr>
            <w:tcW w:type="dxa" w:w="1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Luka Compact</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7"</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$99/mo</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$499</w:t>
            </w:r>
          </w:p>
        </w:tc>
        <w:tc>
          <w:tcPr>
            <w:tcW w:type="dxa" w:w="15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$59/mo</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5 users</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Luka Standard</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$129/mo</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$599</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$79/mo</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10 users</w:t>
            </w:r>
          </w:p>
        </w:tc>
      </w:tr>
      <w:tr>
        <w:tc>
          <w:tcPr>
            <w:tcW w:type="dxa" w:w="1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Luka Pro</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13"</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$179/mo</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$699</w:t>
            </w:r>
          </w:p>
        </w:tc>
        <w:tc>
          <w:tcPr>
            <w:tcW w:type="dxa" w:w="15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$99/mo</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25 users</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Additional users</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 $10/mo each</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 $10/mo each</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DF7F1" w:val="clear"/>
            <w:tcMar>
              <w:top w:type="dxa" w:w="100"/>
              <w:left w:type="dxa" w:w="150"/>
              <w:bottom w:type="dxa" w:w="100"/>
              <w:right w:type="dxa" w:w="150"/>
            </w:tcMar>
            <w:vAlign w:val="top"/>
          </w:tcPr>
          <w:p>
            <w:pPr>
              <w:spacing w:after="50"/>
            </w:pPr>
            <w:r>
              <w:rPr>
                <w:rFonts w:ascii="Arial" w:cs="Arial" w:eastAsia="Arial" w:hAnsi="Arial"/>
                <w:b/>
                <w:bCs/>
                <w:color w:val="1F3864"/>
                <w:sz w:val="20"/>
                <w:szCs w:val="20"/>
              </w:rPr>
              <w:t xml:space="preserve">Monthly Rental — preferred for APC:</w:t>
            </w:r>
          </w:p>
          <w:p>
            <w:pPr>
              <w:spacing w:after="30"/>
            </w:pP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$99-$179/mo fits cleanly as ongoing monthly care expense</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Insurer pays monthly — same rhythm as existing home care billing</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14-day free trial lets family demonstrate value before APC submission</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No upfront device cost — lower barrier for initial APC approval</w:t>
            </w:r>
          </w:p>
        </w:tc>
        <w:tc>
          <w:tcPr>
            <w:tcW w:type="dxa" w:w="4680"/>
            <w:tcBorders>
              <w:top w:val="single" w:color="CCCCCC" w:sz="1"/>
              <w:left w:val="single" w:color="CCCCCC" w:sz="1"/>
              <w:bottom w:val="single" w:color="CCCCCC" w:sz="1"/>
              <w:right w:val="single" w:color="CCCCCC" w:sz="1"/>
            </w:tcBorders>
            <w:shd w:fill="EBF5FF" w:val="clear"/>
            <w:tcMar>
              <w:top w:type="dxa" w:w="100"/>
              <w:left w:type="dxa" w:w="150"/>
              <w:bottom w:type="dxa" w:w="100"/>
              <w:right w:type="dxa" w:w="150"/>
            </w:tcMar>
            <w:vAlign w:val="top"/>
          </w:tcPr>
          <w:p>
            <w:pPr>
              <w:spacing w:after="50"/>
            </w:pPr>
            <w:r>
              <w:rPr>
                <w:rFonts w:ascii="Arial" w:cs="Arial" w:eastAsia="Arial" w:hAnsi="Arial"/>
                <w:b/>
                <w:bCs/>
                <w:color w:val="2E75B6"/>
                <w:sz w:val="20"/>
                <w:szCs w:val="20"/>
              </w:rPr>
              <w:t xml:space="preserve">Own It — also viable:</w:t>
            </w:r>
          </w:p>
          <w:p>
            <w:pPr>
              <w:spacing w:after="30"/>
            </w:pP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$499-$699 device may fit under insurer's equipment or AT provision</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Lower ongoing service fee ($59-$99) reduces long-term insurer cost</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Some policies have a separate assistive technology benefit — ask</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E75B6" w:val="clear"/>
            <w:tcMar>
              <w:top w:type="dxa" w:w="110"/>
              <w:left w:type="dxa" w:w="200"/>
              <w:bottom w:type="dxa" w:w="110"/>
              <w:right w:type="dxa" w:w="200"/>
            </w:tcMar>
          </w:tcPr>
          <w:p>
            <w:r>
              <w:rPr>
                <w:rFonts w:ascii="Arial" w:cs="Arial" w:eastAsia="Arial" w:hAnsi="Arial"/>
                <w:b/>
                <w:bCs/>
                <w:color w:val="FFFFFF"/>
                <w:sz w:val="24"/>
                <w:szCs w:val="24"/>
              </w:rPr>
              <w:t xml:space="preserve">5.  WHAT TO SAY</w:t>
            </w:r>
          </w:p>
        </w:tc>
      </w:tr>
    </w:tbl>
    <w:p>
      <w:pPr>
        <w:spacing w:after="80"/>
      </w:pPr>
    </w:p>
    <w:p>
      <w:pPr>
        <w:spacing w:before="130" w:after="55"/>
      </w:pPr>
      <w:r>
        <w:rPr>
          <w:rFonts w:ascii="Arial" w:cs="Arial" w:eastAsia="Arial" w:hAnsi="Arial"/>
          <w:b/>
          <w:bCs/>
          <w:color w:val="2E75B6"/>
          <w:sz w:val="22"/>
          <w:szCs w:val="22"/>
        </w:rPr>
        <w:t xml:space="preserve">When talking to a family caregiver with LTC insurance:</w:t>
      </w:r>
    </w:p>
    <w:p>
      <w:pPr>
        <w:spacing w:after="60"/>
      </w:pPr>
      <w:r>
        <w:rPr>
          <w:rFonts w:ascii="Arial" w:cs="Arial" w:eastAsia="Arial" w:hAnsi="Arial"/>
          <w:b w:val="false"/>
          <w:bCs w:val="false"/>
          <w:color w:val="555555"/>
          <w:sz w:val="20"/>
          <w:szCs w:val="20"/>
        </w:rPr>
        <w:t xml:space="preserve">“Does your loved one have Long-Term Care insurance? Most LTC policies have an Alternate Plan of Care provision — the insurer can pay for less expensive alternatives that still meet the care need. Luka costs $99-$179/month versus thousands for human care. Your insurer saves money approving Luka. We have a complete documentation package at portal.lukabear.org/ltc-documentation-package.”</w:t>
      </w:r>
    </w:p>
    <w:p>
      <w:pPr>
        <w:spacing w:after="40"/>
      </w:pPr>
    </w:p>
    <w:p>
      <w:pPr>
        <w:spacing w:before="130" w:after="55"/>
      </w:pPr>
      <w:r>
        <w:rPr>
          <w:rFonts w:ascii="Arial" w:cs="Arial" w:eastAsia="Arial" w:hAnsi="Arial"/>
          <w:b/>
          <w:bCs/>
          <w:color w:val="2E75B6"/>
          <w:sz w:val="22"/>
          <w:szCs w:val="22"/>
        </w:rPr>
        <w:t xml:space="preserve">When talking to an LTC insurance case manager:</w:t>
      </w:r>
    </w:p>
    <w:p>
      <w:pPr>
        <w:spacing w:after="60"/>
      </w:pPr>
      <w:r>
        <w:rPr>
          <w:rFonts w:ascii="Arial" w:cs="Arial" w:eastAsia="Arial" w:hAnsi="Arial"/>
          <w:b w:val="false"/>
          <w:bCs w:val="false"/>
          <w:color w:val="555555"/>
          <w:sz w:val="20"/>
          <w:szCs w:val="20"/>
        </w:rPr>
        <w:t xml:space="preserve">“I'm reaching out about Luka Bear — an AI companion for dementia and memory care that may qualify under your Alternate Plan of Care provision. $99-$179/month versus $4,000+ for human care. Our Maryland pilot shows a caregiver sleeping longer on nights when Luka handled nighttime support. Outcomes dashboard: portal.lukabear.org/evidence-dashboard. Can we schedule 20 minutes?”</w:t>
      </w:r>
    </w:p>
    <w:p>
      <w:pPr>
        <w:spacing w:after="40"/>
      </w:pPr>
    </w:p>
    <w:p>
      <w:pPr>
        <w:spacing w:before="130" w:after="55"/>
      </w:pPr>
      <w:r>
        <w:rPr>
          <w:rFonts w:ascii="Arial" w:cs="Arial" w:eastAsia="Arial" w:hAnsi="Arial"/>
          <w:b/>
          <w:bCs/>
          <w:color w:val="2E75B6"/>
          <w:sz w:val="22"/>
          <w:szCs w:val="22"/>
        </w:rPr>
        <w:t xml:space="preserve">When talking to an elder law attorney or care advisor:</w:t>
      </w:r>
    </w:p>
    <w:p>
      <w:pPr>
        <w:spacing w:after="60"/>
      </w:pPr>
      <w:r>
        <w:rPr>
          <w:rFonts w:ascii="Arial" w:cs="Arial" w:eastAsia="Arial" w:hAnsi="Arial"/>
          <w:b w:val="false"/>
          <w:bCs w:val="false"/>
          <w:color w:val="555555"/>
          <w:sz w:val="20"/>
          <w:szCs w:val="20"/>
        </w:rPr>
        <w:t xml:space="preserve">“For your clients with LTC policies, Luka Bear may qualify as an Alternate Plan of Care benefit — substantial savings versus human care. We offer 15% recurring revenue through our partner program for professionals who refer clients. Documentation package at portal.lukabear.org/ltc-documentation-package.”</w:t>
      </w:r>
    </w:p>
    <w:p>
      <w:pPr>
        <w:spacing w:after="40"/>
      </w:pPr>
    </w:p>
    <w:p>
      <w:pPr>
        <w:spacing w:before="130" w:after="55"/>
      </w:pPr>
      <w:r>
        <w:rPr>
          <w:rFonts w:ascii="Arial" w:cs="Arial" w:eastAsia="Arial" w:hAnsi="Arial"/>
          <w:b/>
          <w:bCs/>
          <w:color w:val="2E75B6"/>
          <w:sz w:val="22"/>
          <w:szCs w:val="22"/>
        </w:rPr>
        <w:t xml:space="preserve">When talking to a physician writing an LMN for LTC:</w:t>
      </w:r>
    </w:p>
    <w:p>
      <w:pPr>
        <w:spacing w:after="60"/>
      </w:pPr>
      <w:r>
        <w:rPr>
          <w:rFonts w:ascii="Arial" w:cs="Arial" w:eastAsia="Arial" w:hAnsi="Arial"/>
          <w:b w:val="false"/>
          <w:bCs w:val="false"/>
          <w:color w:val="555555"/>
          <w:sz w:val="20"/>
          <w:szCs w:val="20"/>
        </w:rPr>
        <w:t xml:space="preserve">“The patient has [diagnosis] causing [functional limitations] requiring ongoing supervision, particularly at night and during repetitive distress cycles. Luka Bear provides automated orientation cues, calming routines, and daily living reminders reducing need for continuous human supervision. Supports an Alternate Plan of Care request. Template at portal.lukabear.org/documentation-library → LTC Insurance section.”</w:t>
      </w:r>
    </w:p>
    <w:p>
      <w:pPr>
        <w:spacing w:after="40"/>
      </w:pP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6.  PILOT EVIDENCE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780"/>
        <w:gridCol w:w="3780"/>
      </w:tblGrid>
      <w:tr>
        <w:tc>
          <w:tcPr>
            <w:tcW w:type="dxa" w:w="18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Pilot setting</w:t>
            </w:r>
          </w:p>
        </w:tc>
        <w:tc>
          <w:tcPr>
            <w:tcW w:type="dxa" w:w="378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Observation</w:t>
            </w:r>
          </w:p>
        </w:tc>
        <w:tc>
          <w:tcPr>
            <w:tcW w:type="dxa" w:w="378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Why it matters</w:t>
            </w:r>
          </w:p>
        </w:tc>
      </w:tr>
      <w:tr>
        <w:tc>
          <w:tcPr>
            <w:tcW w:type="dxa" w:w="1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MD home pilot — 15 months</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Caregiver sleeping longer on nights Luka handled nighttime reassurance</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Demonstrates nighttime supervision substitution — core APC argument</w:t>
            </w:r>
          </w:p>
        </w:tc>
      </w:tr>
      <w:tr>
        <w:tc>
          <w:tcPr>
            <w:tcW w:type="dxa" w:w="1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MD home pilot</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Fewer repeated evening questions after conversation patterns established</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Repetitive question burden reduction — specific functional substitution</w:t>
            </w:r>
          </w:p>
        </w:tc>
      </w:tr>
      <w:tr>
        <w:tc>
          <w:tcPr>
            <w:tcW w:type="dxa" w:w="1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PA facility — 8 residents</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Fewer redirection demands 11 PM–3 AM during Luka overnight support</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Multi-resident nighttime supervision — scales the cost argument</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7.  WHAT NOT TO DO</w:t>
            </w:r>
          </w:p>
        </w:tc>
      </w:tr>
    </w:tbl>
    <w:p>
      <w:pPr>
        <w:spacing w:after="80"/>
      </w:pP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approach insurer without the full documentation package — incomplete submissions get denied automatically</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position Luka as a complete replacement for all care — it substitutes specific functions</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use the word 'companion' in any document — use 'assistive supervision tool' or 'cognitive support device'</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skip the cost comparison — the insurer's primary motivation is saving money, make the math explicit</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contact the main insurer phone line — go directly to the case manager assigned to the policy</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50"/>
              <w:bottom w:type="dxa" w:w="50"/>
            </w:tcMar>
          </w:tcPr>
          <w:p>
            <w:r>
              <w:t xml:space="preserve"> </w:t>
            </w:r>
          </w:p>
        </w:tc>
      </w:tr>
    </w:tbl>
    <w:p>
      <w:pPr>
        <w:spacing w:after="60"/>
      </w:pPr>
    </w:p>
    <w:p>
      <w:pPr>
        <w:spacing w:after="40"/>
        <w:jc w:val="center"/>
      </w:pPr>
      <w:r>
        <w:rPr>
          <w:rFonts w:ascii="Arial" w:cs="Arial" w:eastAsia="Arial" w:hAnsi="Arial"/>
          <w:b/>
          <w:bCs/>
          <w:color w:val="1F3864"/>
          <w:sz w:val="26"/>
          <w:szCs w:val="26"/>
        </w:rPr>
        <w:t xml:space="preserve">Insurers want cheaper alternatives. Luka is the cheaper alternative.</w:t>
      </w:r>
    </w:p>
    <w:p>
      <w:pPr>
        <w:spacing w:after="80"/>
        <w:jc w:val="center"/>
      </w:pPr>
      <w:r>
        <w:rPr>
          <w:rFonts w:ascii="Arial" w:cs="Arial" w:eastAsia="Arial" w:hAnsi="Arial"/>
          <w:color w:val="555555"/>
          <w:sz w:val="20"/>
          <w:szCs w:val="20"/>
        </w:rPr>
        <w:t xml:space="preserve">Lead with the cost savings. The documentation package closes the deal.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50"/>
              <w:bottom w:type="dxa" w:w="50"/>
            </w:tcMar>
          </w:tcPr>
          <w:p>
            <w: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2026-04-04T12:33:55.593Z</dcterms:created>
  <dcterms:modified xsi:type="dcterms:W3CDTF">2026-04-04T12:33:55.593Z</dcterms:modified>
</cp:coreProperties>
</file>

<file path=docProps/custom.xml><?xml version="1.0" encoding="utf-8"?>
<Properties xmlns="http://schemas.openxmlformats.org/officeDocument/2006/custom-properties" xmlns:vt="http://schemas.openxmlformats.org/officeDocument/2006/docPropsVTypes"/>
</file>