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80" w:after="30"/>
      </w:pPr>
      <w:r>
        <w:rPr>
          <w:rFonts w:ascii="Arial" w:cs="Arial" w:eastAsia="Arial" w:hAnsi="Arial"/>
          <w:b/>
          <w:bCs/>
          <w:color w:val="1F3864"/>
          <w:sz w:val="52"/>
          <w:szCs w:val="52"/>
        </w:rPr>
        <w:t xml:space="preserve">Luka Bear™</w:t>
      </w:r>
    </w:p>
    <w:p>
      <w:pPr>
        <w:spacing w:after="20"/>
      </w:pPr>
      <w:r>
        <w:rPr>
          <w:rFonts w:ascii="Arial" w:cs="Arial" w:eastAsia="Arial" w:hAnsi="Arial"/>
          <w:b/>
          <w:bCs/>
          <w:color w:val="2E75B6"/>
          <w:sz w:val="34"/>
          <w:szCs w:val="34"/>
        </w:rPr>
        <w:t xml:space="preserve">Virginia CDS Outreach Brief</w:t>
      </w:r>
    </w:p>
    <w:p>
      <w:pPr>
        <w:spacing w:after="20"/>
      </w:pPr>
      <w:r>
        <w:rPr>
          <w:rFonts w:ascii="Arial" w:cs="Arial" w:eastAsia="Arial" w:hAnsi="Arial"/>
          <w:color w:val="555555"/>
          <w:sz w:val="20"/>
          <w:szCs w:val="20"/>
        </w:rPr>
        <w:t xml:space="preserve">How to get Luka Bear funded through Virginia Consumer Directed Services (CCC Plus Waiver)</w:t>
      </w:r>
    </w:p>
    <w:p>
      <w:pPr>
        <w:spacing w:after="160"/>
      </w:pPr>
      <w:r>
        <w:rPr>
          <w:rFonts w:ascii="Arial" w:cs="Arial" w:eastAsia="Arial" w:hAnsi="Arial"/>
          <w:color w:val="555555"/>
          <w:sz w:val="18"/>
          <w:szCs w:val="18"/>
        </w:rPr>
        <w:t xml:space="preserve">Eldercare Robotics LLC  ·  Confidential  ·  April 2026</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1F3864" w:val="clear"/>
            <w:tcMar>
              <w:top w:type="dxa" w:w="50"/>
              <w:bottom w:type="dxa" w:w="50"/>
            </w:tcMar>
          </w:tcPr>
          <w:p>
            <w:r>
              <w:t xml:space="preserve"> </w:t>
            </w:r>
          </w:p>
        </w:tc>
      </w:tr>
    </w:tbl>
    <w:p>
      <w:pPr>
        <w:spacing w:after="1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1E7145" w:val="clear"/>
            <w:tcMar>
              <w:top w:type="dxa" w:w="110"/>
              <w:left w:type="dxa" w:w="200"/>
              <w:bottom w:type="dxa" w:w="110"/>
              <w:right w:type="dxa" w:w="200"/>
            </w:tcMar>
          </w:tcPr>
          <w:p>
            <w:r>
              <w:rPr>
                <w:rFonts w:ascii="Arial" w:cs="Arial" w:eastAsia="Arial" w:hAnsi="Arial"/>
                <w:b/>
                <w:bCs/>
                <w:color w:val="FFFFFF"/>
                <w:sz w:val="24"/>
                <w:szCs w:val="24"/>
              </w:rPr>
              <w:t xml:space="preserve">1.  WHY VIRGINIA CDS IS YOUR FASTEST MEDICAID REVENUE</w:t>
            </w:r>
          </w:p>
        </w:tc>
      </w:tr>
    </w:tbl>
    <w:p>
      <w:pPr>
        <w:spacing w:after="80"/>
      </w:pPr>
    </w:p>
    <w:p>
      <w:pPr>
        <w:spacing w:after="60"/>
      </w:pPr>
      <w:r>
        <w:rPr>
          <w:rFonts w:ascii="Arial" w:cs="Arial" w:eastAsia="Arial" w:hAnsi="Arial"/>
          <w:b/>
          <w:bCs/>
          <w:color w:val="1F3864"/>
          <w:sz w:val="20"/>
          <w:szCs w:val="20"/>
        </w:rPr>
        <w:t xml:space="preserve">Virginia CDS is the clearest direct-purchase Medicaid pathway in the Mid-Atlantic. The family controls the Medicaid budget through PPL. No state approval needed once enrolled — the family decides what to buy.</w:t>
      </w:r>
    </w:p>
    <w:p>
      <w:pPr>
        <w:spacing w:after="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single" w:color="CCCCCC" w:sz="1"/>
              <w:left w:val="single" w:color="CCCCCC" w:sz="1"/>
              <w:bottom w:val="single" w:color="CCCCCC" w:sz="1"/>
              <w:right w:val="single" w:color="CCCCCC" w:sz="1"/>
            </w:tcBorders>
            <w:shd w:fill="1E7145" w:val="clear"/>
            <w:tcMar>
              <w:top w:type="dxa" w:w="100"/>
              <w:left w:type="dxa" w:w="150"/>
              <w:bottom w:type="dxa" w:w="100"/>
              <w:right w:type="dxa" w:w="150"/>
            </w:tcMar>
          </w:tcPr>
          <w:p>
            <w:pPr>
              <w:spacing w:after="20"/>
              <w:jc w:val="center"/>
            </w:pPr>
            <w:r>
              <w:rPr>
                <w:rFonts w:ascii="Arial" w:cs="Arial" w:eastAsia="Arial" w:hAnsi="Arial"/>
                <w:b/>
                <w:bCs/>
                <w:color w:val="FFFFFF"/>
                <w:sz w:val="44"/>
                <w:szCs w:val="44"/>
              </w:rPr>
              <w:t xml:space="preserve">Family</w:t>
            </w:r>
          </w:p>
          <w:p>
            <w:pPr>
              <w:jc w:val="center"/>
            </w:pPr>
            <w:r>
              <w:rPr>
                <w:rFonts w:ascii="Arial" w:cs="Arial" w:eastAsia="Arial" w:hAnsi="Arial"/>
                <w:color w:val="FFFFFF"/>
                <w:sz w:val="17"/>
                <w:szCs w:val="17"/>
              </w:rPr>
              <w:t xml:space="preserve">controls the Medicaid budget — no state approval needed for purchases</w:t>
            </w:r>
          </w:p>
        </w:tc>
        <w:tc>
          <w:tcPr>
            <w:tcW w:type="dxa" w:w="3120"/>
            <w:tcBorders>
              <w:top w:val="single" w:color="CCCCCC" w:sz="1"/>
              <w:left w:val="single" w:color="CCCCCC" w:sz="1"/>
              <w:bottom w:val="single" w:color="CCCCCC" w:sz="1"/>
              <w:right w:val="single" w:color="CCCCCC" w:sz="1"/>
            </w:tcBorders>
            <w:shd w:fill="2E75B6" w:val="clear"/>
            <w:tcMar>
              <w:top w:type="dxa" w:w="100"/>
              <w:left w:type="dxa" w:w="150"/>
              <w:bottom w:type="dxa" w:w="100"/>
              <w:right w:type="dxa" w:w="150"/>
            </w:tcMar>
          </w:tcPr>
          <w:p>
            <w:pPr>
              <w:spacing w:after="20"/>
              <w:jc w:val="center"/>
            </w:pPr>
            <w:r>
              <w:rPr>
                <w:rFonts w:ascii="Arial" w:cs="Arial" w:eastAsia="Arial" w:hAnsi="Arial"/>
                <w:b/>
                <w:bCs/>
                <w:color w:val="FFFFFF"/>
                <w:sz w:val="44"/>
                <w:szCs w:val="44"/>
              </w:rPr>
              <w:t xml:space="preserve">PPL</w:t>
            </w:r>
          </w:p>
          <w:p>
            <w:pPr>
              <w:jc w:val="center"/>
            </w:pPr>
            <w:r>
              <w:rPr>
                <w:rFonts w:ascii="Arial" w:cs="Arial" w:eastAsia="Arial" w:hAnsi="Arial"/>
                <w:color w:val="FFFFFF"/>
                <w:sz w:val="17"/>
                <w:szCs w:val="17"/>
              </w:rPr>
              <w:t xml:space="preserve">holds and manages the budget — Eldercare Robotics invoices PPL directly</w:t>
            </w:r>
          </w:p>
        </w:tc>
        <w:tc>
          <w:tcPr>
            <w:tcW w:type="dxa" w:w="3120"/>
            <w:tcBorders>
              <w:top w:val="single" w:color="CCCCCC" w:sz="1"/>
              <w:left w:val="single" w:color="CCCCCC" w:sz="1"/>
              <w:bottom w:val="single" w:color="CCCCCC" w:sz="1"/>
              <w:right w:val="single" w:color="CCCCCC" w:sz="1"/>
            </w:tcBorders>
            <w:shd w:fill="C65911" w:val="clear"/>
            <w:tcMar>
              <w:top w:type="dxa" w:w="100"/>
              <w:left w:type="dxa" w:w="150"/>
              <w:bottom w:type="dxa" w:w="100"/>
              <w:right w:type="dxa" w:w="150"/>
            </w:tcMar>
          </w:tcPr>
          <w:p>
            <w:pPr>
              <w:spacing w:after="20"/>
              <w:jc w:val="center"/>
            </w:pPr>
            <w:r>
              <w:rPr>
                <w:rFonts w:ascii="Arial" w:cs="Arial" w:eastAsia="Arial" w:hAnsi="Arial"/>
                <w:b/>
                <w:bCs/>
                <w:color w:val="FFFFFF"/>
                <w:sz w:val="44"/>
                <w:szCs w:val="44"/>
              </w:rPr>
              <w:t xml:space="preserve">4–8 wks</w:t>
            </w:r>
          </w:p>
          <w:p>
            <w:pPr>
              <w:jc w:val="center"/>
            </w:pPr>
            <w:r>
              <w:rPr>
                <w:rFonts w:ascii="Arial" w:cs="Arial" w:eastAsia="Arial" w:hAnsi="Arial"/>
                <w:color w:val="FFFFFF"/>
                <w:sz w:val="17"/>
                <w:szCs w:val="17"/>
              </w:rPr>
              <w:t xml:space="preserve">enrollment to first purchase — fastest Medicaid path in region</w:t>
            </w:r>
          </w:p>
        </w:tc>
      </w:tr>
    </w:tbl>
    <w:p>
      <w:pPr>
        <w:spacing w:after="80"/>
      </w:pPr>
    </w:p>
    <w:p>
      <w:pPr>
        <w:spacing w:before="60" w:after="80"/>
        <w:ind w:left="160"/>
      </w:pPr>
      <w:r>
        <w:rPr>
          <w:rFonts w:ascii="Arial" w:cs="Arial" w:eastAsia="Arial" w:hAnsi="Arial"/>
          <w:b/>
          <w:bCs/>
          <w:color w:val="C65911"/>
          <w:sz w:val="18"/>
          <w:szCs w:val="18"/>
        </w:rPr>
        <w:t xml:space="preserve">⚠️  Talk to the family — not the state. Once enrolled in CDS, the family's decision to purchase Luka is theirs. You are a vendor in the PPL system, not a state contractor.</w:t>
      </w:r>
    </w:p>
    <w:p>
      <w:pPr>
        <w:spacing w:after="12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1F3864" w:val="clear"/>
            <w:tcMar>
              <w:top w:type="dxa" w:w="110"/>
              <w:left w:type="dxa" w:w="200"/>
              <w:bottom w:type="dxa" w:w="110"/>
              <w:right w:type="dxa" w:w="200"/>
            </w:tcMar>
          </w:tcPr>
          <w:p>
            <w:r>
              <w:rPr>
                <w:rFonts w:ascii="Arial" w:cs="Arial" w:eastAsia="Arial" w:hAnsi="Arial"/>
                <w:b/>
                <w:bCs/>
                <w:color w:val="FFFFFF"/>
                <w:sz w:val="24"/>
                <w:szCs w:val="24"/>
              </w:rPr>
              <w:t xml:space="preserve">2.  HOW VIRGINIA CDS WORKS</w:t>
            </w:r>
          </w:p>
        </w:tc>
      </w:tr>
    </w:tbl>
    <w:p>
      <w:pPr>
        <w:spacing w:after="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00"/>
        <w:gridCol w:w="2000"/>
        <w:gridCol w:w="4560"/>
        <w:gridCol w:w="2200"/>
      </w:tblGrid>
      <w:tr>
        <w:tc>
          <w:tcPr>
            <w:tcW w:type="dxa" w:w="600"/>
            <w:tcBorders>
              <w:top w:val="single" w:color="CCCCCC" w:sz="1"/>
              <w:left w:val="single" w:color="CCCCCC" w:sz="1"/>
              <w:bottom w:val="single" w:color="CCCCCC" w:sz="1"/>
              <w:right w:val="single" w:color="CCCCCC" w:sz="1"/>
            </w:tcBorders>
            <w:shd w:fill="1F3864" w:val="clear"/>
            <w:tcMar>
              <w:top w:type="dxa" w:w="100"/>
              <w:left w:type="dxa" w:w="150"/>
              <w:bottom w:type="dxa" w:w="100"/>
              <w:right w:type="dxa" w:w="150"/>
            </w:tcMar>
          </w:tcPr>
          <w:p>
            <w:r>
              <w:rPr>
                <w:rFonts w:ascii="Arial" w:cs="Arial" w:eastAsia="Arial" w:hAnsi="Arial"/>
                <w:b/>
                <w:bCs/>
                <w:color w:val="FFFFFF"/>
                <w:sz w:val="18"/>
                <w:szCs w:val="18"/>
              </w:rPr>
              <w:t xml:space="preserve">Step</w:t>
            </w:r>
          </w:p>
        </w:tc>
        <w:tc>
          <w:tcPr>
            <w:tcW w:type="dxa" w:w="2000"/>
            <w:tcBorders>
              <w:top w:val="single" w:color="CCCCCC" w:sz="1"/>
              <w:left w:val="single" w:color="CCCCCC" w:sz="1"/>
              <w:bottom w:val="single" w:color="CCCCCC" w:sz="1"/>
              <w:right w:val="single" w:color="CCCCCC" w:sz="1"/>
            </w:tcBorders>
            <w:shd w:fill="1F3864" w:val="clear"/>
            <w:tcMar>
              <w:top w:type="dxa" w:w="100"/>
              <w:left w:type="dxa" w:w="150"/>
              <w:bottom w:type="dxa" w:w="100"/>
              <w:right w:type="dxa" w:w="150"/>
            </w:tcMar>
          </w:tcPr>
          <w:p>
            <w:r>
              <w:rPr>
                <w:rFonts w:ascii="Arial" w:cs="Arial" w:eastAsia="Arial" w:hAnsi="Arial"/>
                <w:b/>
                <w:bCs/>
                <w:color w:val="FFFFFF"/>
                <w:sz w:val="18"/>
                <w:szCs w:val="18"/>
              </w:rPr>
              <w:t xml:space="preserve">Who does it</w:t>
            </w:r>
          </w:p>
        </w:tc>
        <w:tc>
          <w:tcPr>
            <w:tcW w:type="dxa" w:w="4560"/>
            <w:tcBorders>
              <w:top w:val="single" w:color="CCCCCC" w:sz="1"/>
              <w:left w:val="single" w:color="CCCCCC" w:sz="1"/>
              <w:bottom w:val="single" w:color="CCCCCC" w:sz="1"/>
              <w:right w:val="single" w:color="CCCCCC" w:sz="1"/>
            </w:tcBorders>
            <w:shd w:fill="1F3864" w:val="clear"/>
            <w:tcMar>
              <w:top w:type="dxa" w:w="100"/>
              <w:left w:type="dxa" w:w="150"/>
              <w:bottom w:type="dxa" w:w="100"/>
              <w:right w:type="dxa" w:w="150"/>
            </w:tcMar>
          </w:tcPr>
          <w:p>
            <w:r>
              <w:rPr>
                <w:rFonts w:ascii="Arial" w:cs="Arial" w:eastAsia="Arial" w:hAnsi="Arial"/>
                <w:b/>
                <w:bCs/>
                <w:color w:val="FFFFFF"/>
                <w:sz w:val="18"/>
                <w:szCs w:val="18"/>
              </w:rPr>
              <w:t xml:space="preserve">What happens</w:t>
            </w:r>
          </w:p>
        </w:tc>
        <w:tc>
          <w:tcPr>
            <w:tcW w:type="dxa" w:w="2200"/>
            <w:tcBorders>
              <w:top w:val="single" w:color="CCCCCC" w:sz="1"/>
              <w:left w:val="single" w:color="CCCCCC" w:sz="1"/>
              <w:bottom w:val="single" w:color="CCCCCC" w:sz="1"/>
              <w:right w:val="single" w:color="CCCCCC" w:sz="1"/>
            </w:tcBorders>
            <w:shd w:fill="1F3864" w:val="clear"/>
            <w:tcMar>
              <w:top w:type="dxa" w:w="100"/>
              <w:left w:type="dxa" w:w="150"/>
              <w:bottom w:type="dxa" w:w="100"/>
              <w:right w:type="dxa" w:w="150"/>
            </w:tcMar>
          </w:tcPr>
          <w:p>
            <w:r>
              <w:rPr>
                <w:rFonts w:ascii="Arial" w:cs="Arial" w:eastAsia="Arial" w:hAnsi="Arial"/>
                <w:b/>
                <w:bCs/>
                <w:color w:val="FFFFFF"/>
                <w:sz w:val="18"/>
                <w:szCs w:val="18"/>
              </w:rPr>
              <w:t xml:space="preserve">Timeline</w:t>
            </w:r>
          </w:p>
        </w:tc>
      </w:tr>
      <w:tr>
        <w:tc>
          <w:tcPr>
            <w:tcW w:type="dxa" w:w="600"/>
            <w:tcBorders>
              <w:top w:val="single" w:color="CCCCCC" w:sz="1"/>
              <w:left w:val="single" w:color="CCCCCC" w:sz="1"/>
              <w:bottom w:val="single" w:color="CCCCCC" w:sz="1"/>
              <w:right w:val="single" w:color="CCCCCC" w:sz="1"/>
            </w:tcBorders>
            <w:shd w:fill="F2F2F2" w:val="clear"/>
            <w:tcMar>
              <w:top w:type="dxa" w:w="100"/>
              <w:left w:type="dxa" w:w="150"/>
              <w:bottom w:type="dxa" w:w="100"/>
              <w:right w:type="dxa" w:w="150"/>
            </w:tcMar>
          </w:tcPr>
          <w:p>
            <w:r>
              <w:rPr>
                <w:rFonts w:ascii="Arial" w:cs="Arial" w:eastAsia="Arial" w:hAnsi="Arial"/>
                <w:b/>
                <w:bCs/>
                <w:color w:val="222222"/>
                <w:sz w:val="17"/>
                <w:szCs w:val="17"/>
              </w:rPr>
              <w:t xml:space="preserve">1</w:t>
            </w:r>
          </w:p>
        </w:tc>
        <w:tc>
          <w:tcPr>
            <w:tcW w:type="dxa" w:w="20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r>
              <w:rPr>
                <w:rFonts w:ascii="Arial" w:cs="Arial" w:eastAsia="Arial" w:hAnsi="Arial"/>
                <w:b w:val="false"/>
                <w:bCs w:val="false"/>
                <w:color w:val="222222"/>
                <w:sz w:val="17"/>
                <w:szCs w:val="17"/>
              </w:rPr>
              <w:t xml:space="preserve">Family / case manager</w:t>
            </w:r>
          </w:p>
        </w:tc>
        <w:tc>
          <w:tcPr>
            <w:tcW w:type="dxa" w:w="456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r>
              <w:rPr>
                <w:rFonts w:ascii="Arial" w:cs="Arial" w:eastAsia="Arial" w:hAnsi="Arial"/>
                <w:b w:val="false"/>
                <w:bCs w:val="false"/>
                <w:color w:val="222222"/>
                <w:sz w:val="17"/>
                <w:szCs w:val="17"/>
              </w:rPr>
              <w:t xml:space="preserve">Family enrolled in CCC Plus Waiver and selects Consumer Directed Services option</w:t>
            </w:r>
          </w:p>
        </w:tc>
        <w:tc>
          <w:tcPr>
            <w:tcW w:type="dxa" w:w="22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r>
              <w:rPr>
                <w:rFonts w:ascii="Arial" w:cs="Arial" w:eastAsia="Arial" w:hAnsi="Arial"/>
                <w:b w:val="false"/>
                <w:bCs w:val="false"/>
                <w:color w:val="222222"/>
                <w:sz w:val="17"/>
                <w:szCs w:val="17"/>
              </w:rPr>
              <w:t xml:space="preserve">Already done if enrolled</w:t>
            </w:r>
          </w:p>
        </w:tc>
      </w:tr>
      <w:tr>
        <w:tc>
          <w:tcPr>
            <w:tcW w:type="dxa" w:w="600"/>
            <w:tcBorders>
              <w:top w:val="single" w:color="CCCCCC" w:sz="1"/>
              <w:left w:val="single" w:color="CCCCCC" w:sz="1"/>
              <w:bottom w:val="single" w:color="CCCCCC" w:sz="1"/>
              <w:right w:val="single" w:color="CCCCCC" w:sz="1"/>
            </w:tcBorders>
            <w:shd w:fill="F2F2F2" w:val="clear"/>
            <w:tcMar>
              <w:top w:type="dxa" w:w="100"/>
              <w:left w:type="dxa" w:w="150"/>
              <w:bottom w:type="dxa" w:w="100"/>
              <w:right w:type="dxa" w:w="150"/>
            </w:tcMar>
          </w:tcPr>
          <w:p>
            <w:r>
              <w:rPr>
                <w:rFonts w:ascii="Arial" w:cs="Arial" w:eastAsia="Arial" w:hAnsi="Arial"/>
                <w:b/>
                <w:bCs/>
                <w:color w:val="222222"/>
                <w:sz w:val="17"/>
                <w:szCs w:val="17"/>
              </w:rPr>
              <w:t xml:space="preserve">2</w:t>
            </w:r>
          </w:p>
        </w:tc>
        <w:tc>
          <w:tcPr>
            <w:tcW w:type="dxa" w:w="20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r>
              <w:rPr>
                <w:rFonts w:ascii="Arial" w:cs="Arial" w:eastAsia="Arial" w:hAnsi="Arial"/>
                <w:b w:val="false"/>
                <w:bCs w:val="false"/>
                <w:color w:val="222222"/>
                <w:sz w:val="17"/>
                <w:szCs w:val="17"/>
              </w:rPr>
              <w:t xml:space="preserve">Virginia DMAS</w:t>
            </w:r>
          </w:p>
        </w:tc>
        <w:tc>
          <w:tcPr>
            <w:tcW w:type="dxa" w:w="456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r>
              <w:rPr>
                <w:rFonts w:ascii="Arial" w:cs="Arial" w:eastAsia="Arial" w:hAnsi="Arial"/>
                <w:b w:val="false"/>
                <w:bCs w:val="false"/>
                <w:color w:val="222222"/>
                <w:sz w:val="17"/>
                <w:szCs w:val="17"/>
              </w:rPr>
              <w:t xml:space="preserve">Monthly budget assigned based on assessed care needs — typically $1,000–$5,000+/month</w:t>
            </w:r>
          </w:p>
        </w:tc>
        <w:tc>
          <w:tcPr>
            <w:tcW w:type="dxa" w:w="22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r>
              <w:rPr>
                <w:rFonts w:ascii="Arial" w:cs="Arial" w:eastAsia="Arial" w:hAnsi="Arial"/>
                <w:b w:val="false"/>
                <w:bCs w:val="false"/>
                <w:color w:val="222222"/>
                <w:sz w:val="17"/>
                <w:szCs w:val="17"/>
              </w:rPr>
              <w:t xml:space="preserve">At enrollment</w:t>
            </w:r>
          </w:p>
        </w:tc>
      </w:tr>
      <w:tr>
        <w:tc>
          <w:tcPr>
            <w:tcW w:type="dxa" w:w="600"/>
            <w:tcBorders>
              <w:top w:val="single" w:color="CCCCCC" w:sz="1"/>
              <w:left w:val="single" w:color="CCCCCC" w:sz="1"/>
              <w:bottom w:val="single" w:color="CCCCCC" w:sz="1"/>
              <w:right w:val="single" w:color="CCCCCC" w:sz="1"/>
            </w:tcBorders>
            <w:shd w:fill="F2F2F2" w:val="clear"/>
            <w:tcMar>
              <w:top w:type="dxa" w:w="100"/>
              <w:left w:type="dxa" w:w="150"/>
              <w:bottom w:type="dxa" w:w="100"/>
              <w:right w:type="dxa" w:w="150"/>
            </w:tcMar>
          </w:tcPr>
          <w:p>
            <w:r>
              <w:rPr>
                <w:rFonts w:ascii="Arial" w:cs="Arial" w:eastAsia="Arial" w:hAnsi="Arial"/>
                <w:b/>
                <w:bCs/>
                <w:color w:val="222222"/>
                <w:sz w:val="17"/>
                <w:szCs w:val="17"/>
              </w:rPr>
              <w:t xml:space="preserve">3</w:t>
            </w:r>
          </w:p>
        </w:tc>
        <w:tc>
          <w:tcPr>
            <w:tcW w:type="dxa" w:w="20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r>
              <w:rPr>
                <w:rFonts w:ascii="Arial" w:cs="Arial" w:eastAsia="Arial" w:hAnsi="Arial"/>
                <w:b w:val="false"/>
                <w:bCs w:val="false"/>
                <w:color w:val="222222"/>
                <w:sz w:val="17"/>
                <w:szCs w:val="17"/>
              </w:rPr>
              <w:t xml:space="preserve">PPL (Public Partnerships LLC)</w:t>
            </w:r>
          </w:p>
        </w:tc>
        <w:tc>
          <w:tcPr>
            <w:tcW w:type="dxa" w:w="456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r>
              <w:rPr>
                <w:rFonts w:ascii="Arial" w:cs="Arial" w:eastAsia="Arial" w:hAnsi="Arial"/>
                <w:b w:val="false"/>
                <w:bCs w:val="false"/>
                <w:color w:val="222222"/>
                <w:sz w:val="17"/>
                <w:szCs w:val="17"/>
              </w:rPr>
              <w:t xml:space="preserve">Holds and manages the participant's budget. Family is employer of record.</w:t>
            </w:r>
          </w:p>
        </w:tc>
        <w:tc>
          <w:tcPr>
            <w:tcW w:type="dxa" w:w="22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r>
              <w:rPr>
                <w:rFonts w:ascii="Arial" w:cs="Arial" w:eastAsia="Arial" w:hAnsi="Arial"/>
                <w:b w:val="false"/>
                <w:bCs w:val="false"/>
                <w:color w:val="222222"/>
                <w:sz w:val="17"/>
                <w:szCs w:val="17"/>
              </w:rPr>
              <w:t xml:space="preserve">At enrollment</w:t>
            </w:r>
          </w:p>
        </w:tc>
      </w:tr>
      <w:tr>
        <w:tc>
          <w:tcPr>
            <w:tcW w:type="dxa" w:w="600"/>
            <w:tcBorders>
              <w:top w:val="single" w:color="CCCCCC" w:sz="1"/>
              <w:left w:val="single" w:color="CCCCCC" w:sz="1"/>
              <w:bottom w:val="single" w:color="CCCCCC" w:sz="1"/>
              <w:right w:val="single" w:color="CCCCCC" w:sz="1"/>
            </w:tcBorders>
            <w:shd w:fill="F2F2F2" w:val="clear"/>
            <w:tcMar>
              <w:top w:type="dxa" w:w="100"/>
              <w:left w:type="dxa" w:w="150"/>
              <w:bottom w:type="dxa" w:w="100"/>
              <w:right w:type="dxa" w:w="150"/>
            </w:tcMar>
          </w:tcPr>
          <w:p>
            <w:r>
              <w:rPr>
                <w:rFonts w:ascii="Arial" w:cs="Arial" w:eastAsia="Arial" w:hAnsi="Arial"/>
                <w:b/>
                <w:bCs/>
                <w:color w:val="222222"/>
                <w:sz w:val="17"/>
                <w:szCs w:val="17"/>
              </w:rPr>
              <w:t xml:space="preserve">4</w:t>
            </w:r>
          </w:p>
        </w:tc>
        <w:tc>
          <w:tcPr>
            <w:tcW w:type="dxa" w:w="20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r>
              <w:rPr>
                <w:rFonts w:ascii="Arial" w:cs="Arial" w:eastAsia="Arial" w:hAnsi="Arial"/>
                <w:b w:val="false"/>
                <w:bCs w:val="false"/>
                <w:color w:val="222222"/>
                <w:sz w:val="17"/>
                <w:szCs w:val="17"/>
              </w:rPr>
              <w:t xml:space="preserve">Family</w:t>
            </w:r>
          </w:p>
        </w:tc>
        <w:tc>
          <w:tcPr>
            <w:tcW w:type="dxa" w:w="456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r>
              <w:rPr>
                <w:rFonts w:ascii="Arial" w:cs="Arial" w:eastAsia="Arial" w:hAnsi="Arial"/>
                <w:b w:val="false"/>
                <w:bCs w:val="false"/>
                <w:color w:val="222222"/>
                <w:sz w:val="17"/>
                <w:szCs w:val="17"/>
              </w:rPr>
              <w:t xml:space="preserve">Decides to purchase Luka — contacts Eldercare Robotics for quote</w:t>
            </w:r>
          </w:p>
        </w:tc>
        <w:tc>
          <w:tcPr>
            <w:tcW w:type="dxa" w:w="22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r>
              <w:rPr>
                <w:rFonts w:ascii="Arial" w:cs="Arial" w:eastAsia="Arial" w:hAnsi="Arial"/>
                <w:b w:val="false"/>
                <w:bCs w:val="false"/>
                <w:color w:val="222222"/>
                <w:sz w:val="17"/>
                <w:szCs w:val="17"/>
              </w:rPr>
              <w:t xml:space="preserve">Immediate</w:t>
            </w:r>
          </w:p>
        </w:tc>
      </w:tr>
      <w:tr>
        <w:tc>
          <w:tcPr>
            <w:tcW w:type="dxa" w:w="600"/>
            <w:tcBorders>
              <w:top w:val="single" w:color="CCCCCC" w:sz="1"/>
              <w:left w:val="single" w:color="CCCCCC" w:sz="1"/>
              <w:bottom w:val="single" w:color="CCCCCC" w:sz="1"/>
              <w:right w:val="single" w:color="CCCCCC" w:sz="1"/>
            </w:tcBorders>
            <w:shd w:fill="F2F2F2" w:val="clear"/>
            <w:tcMar>
              <w:top w:type="dxa" w:w="100"/>
              <w:left w:type="dxa" w:w="150"/>
              <w:bottom w:type="dxa" w:w="100"/>
              <w:right w:type="dxa" w:w="150"/>
            </w:tcMar>
          </w:tcPr>
          <w:p>
            <w:r>
              <w:rPr>
                <w:rFonts w:ascii="Arial" w:cs="Arial" w:eastAsia="Arial" w:hAnsi="Arial"/>
                <w:b/>
                <w:bCs/>
                <w:color w:val="222222"/>
                <w:sz w:val="17"/>
                <w:szCs w:val="17"/>
              </w:rPr>
              <w:t xml:space="preserve">5</w:t>
            </w:r>
          </w:p>
        </w:tc>
        <w:tc>
          <w:tcPr>
            <w:tcW w:type="dxa" w:w="20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r>
              <w:rPr>
                <w:rFonts w:ascii="Arial" w:cs="Arial" w:eastAsia="Arial" w:hAnsi="Arial"/>
                <w:b w:val="false"/>
                <w:bCs w:val="false"/>
                <w:color w:val="222222"/>
                <w:sz w:val="17"/>
                <w:szCs w:val="17"/>
              </w:rPr>
              <w:t xml:space="preserve">Eldercare Robotics</w:t>
            </w:r>
          </w:p>
        </w:tc>
        <w:tc>
          <w:tcPr>
            <w:tcW w:type="dxa" w:w="456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r>
              <w:rPr>
                <w:rFonts w:ascii="Arial" w:cs="Arial" w:eastAsia="Arial" w:hAnsi="Arial"/>
                <w:b w:val="false"/>
                <w:bCs w:val="false"/>
                <w:color w:val="222222"/>
                <w:sz w:val="17"/>
                <w:szCs w:val="17"/>
              </w:rPr>
              <w:t xml:space="preserve">Registered as approved PPL vendor (one-time setup). Submits invoice to PPL.</w:t>
            </w:r>
          </w:p>
        </w:tc>
        <w:tc>
          <w:tcPr>
            <w:tcW w:type="dxa" w:w="22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r>
              <w:rPr>
                <w:rFonts w:ascii="Arial" w:cs="Arial" w:eastAsia="Arial" w:hAnsi="Arial"/>
                <w:b w:val="false"/>
                <w:bCs w:val="false"/>
                <w:color w:val="222222"/>
                <w:sz w:val="17"/>
                <w:szCs w:val="17"/>
              </w:rPr>
              <w:t xml:space="preserve">Setup: 1–2 wks</w:t>
            </w:r>
          </w:p>
        </w:tc>
      </w:tr>
      <w:tr>
        <w:tc>
          <w:tcPr>
            <w:tcW w:type="dxa" w:w="600"/>
            <w:tcBorders>
              <w:top w:val="single" w:color="CCCCCC" w:sz="1"/>
              <w:left w:val="single" w:color="CCCCCC" w:sz="1"/>
              <w:bottom w:val="single" w:color="CCCCCC" w:sz="1"/>
              <w:right w:val="single" w:color="CCCCCC" w:sz="1"/>
            </w:tcBorders>
            <w:shd w:fill="F2F2F2" w:val="clear"/>
            <w:tcMar>
              <w:top w:type="dxa" w:w="100"/>
              <w:left w:type="dxa" w:w="150"/>
              <w:bottom w:type="dxa" w:w="100"/>
              <w:right w:type="dxa" w:w="150"/>
            </w:tcMar>
          </w:tcPr>
          <w:p>
            <w:r>
              <w:rPr>
                <w:rFonts w:ascii="Arial" w:cs="Arial" w:eastAsia="Arial" w:hAnsi="Arial"/>
                <w:b/>
                <w:bCs/>
                <w:color w:val="222222"/>
                <w:sz w:val="17"/>
                <w:szCs w:val="17"/>
              </w:rPr>
              <w:t xml:space="preserve">6</w:t>
            </w:r>
          </w:p>
        </w:tc>
        <w:tc>
          <w:tcPr>
            <w:tcW w:type="dxa" w:w="20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r>
              <w:rPr>
                <w:rFonts w:ascii="Arial" w:cs="Arial" w:eastAsia="Arial" w:hAnsi="Arial"/>
                <w:b w:val="false"/>
                <w:bCs w:val="false"/>
                <w:color w:val="222222"/>
                <w:sz w:val="17"/>
                <w:szCs w:val="17"/>
              </w:rPr>
              <w:t xml:space="preserve">PPL</w:t>
            </w:r>
          </w:p>
        </w:tc>
        <w:tc>
          <w:tcPr>
            <w:tcW w:type="dxa" w:w="456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r>
              <w:rPr>
                <w:rFonts w:ascii="Arial" w:cs="Arial" w:eastAsia="Arial" w:hAnsi="Arial"/>
                <w:b w:val="false"/>
                <w:bCs w:val="false"/>
                <w:color w:val="222222"/>
                <w:sz w:val="17"/>
                <w:szCs w:val="17"/>
              </w:rPr>
              <w:t xml:space="preserve">Processes payment to Eldercare Robotics from participant's CDS budget</w:t>
            </w:r>
          </w:p>
        </w:tc>
        <w:tc>
          <w:tcPr>
            <w:tcW w:type="dxa" w:w="22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r>
              <w:rPr>
                <w:rFonts w:ascii="Arial" w:cs="Arial" w:eastAsia="Arial" w:hAnsi="Arial"/>
                <w:b w:val="false"/>
                <w:bCs w:val="false"/>
                <w:color w:val="222222"/>
                <w:sz w:val="17"/>
                <w:szCs w:val="17"/>
              </w:rPr>
              <w:t xml:space="preserve">2–4 wks after invoice</w:t>
            </w:r>
          </w:p>
        </w:tc>
      </w:tr>
    </w:tbl>
    <w:p>
      <w:pPr>
        <w:spacing w:after="80"/>
      </w:pPr>
    </w:p>
    <w:p>
      <w:pPr>
        <w:spacing w:before="60" w:after="80"/>
        <w:ind w:left="160"/>
      </w:pPr>
      <w:r>
        <w:rPr>
          <w:rFonts w:ascii="Arial" w:cs="Arial" w:eastAsia="Arial" w:hAnsi="Arial"/>
          <w:b/>
          <w:bCs/>
          <w:color w:val="C65911"/>
          <w:sz w:val="18"/>
          <w:szCs w:val="18"/>
        </w:rPr>
        <w:t xml:space="preserve">⚠️  Critical first step: Eldercare Robotics must be registered as an approved vendor with PPL. One-time setup. Contact info@eldercarerobotics.net to confirm current PPL vendor status.</w:t>
      </w:r>
    </w:p>
    <w:p>
      <w:pPr>
        <w:spacing w:after="12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1F3864" w:val="clear"/>
            <w:tcMar>
              <w:top w:type="dxa" w:w="110"/>
              <w:left w:type="dxa" w:w="200"/>
              <w:bottom w:type="dxa" w:w="110"/>
              <w:right w:type="dxa" w:w="200"/>
            </w:tcMar>
          </w:tcPr>
          <w:p>
            <w:r>
              <w:rPr>
                <w:rFonts w:ascii="Arial" w:cs="Arial" w:eastAsia="Arial" w:hAnsi="Arial"/>
                <w:b/>
                <w:bCs/>
                <w:color w:val="FFFFFF"/>
                <w:sz w:val="24"/>
                <w:szCs w:val="24"/>
              </w:rPr>
              <w:t xml:space="preserve">3.  THE JUSTIFICATION — HOW TO FRAME LUKA FOR CDS</w:t>
            </w:r>
          </w:p>
        </w:tc>
      </w:tr>
    </w:tbl>
    <w:p>
      <w:pPr>
        <w:spacing w:after="80"/>
      </w:pPr>
    </w:p>
    <w:p>
      <w:pPr>
        <w:spacing w:after="60"/>
      </w:pPr>
      <w:r>
        <w:rPr>
          <w:rFonts w:ascii="Arial" w:cs="Arial" w:eastAsia="Arial" w:hAnsi="Arial"/>
          <w:b w:val="false"/>
          <w:bCs w:val="false"/>
          <w:color w:val="222222"/>
          <w:sz w:val="20"/>
          <w:szCs w:val="20"/>
        </w:rPr>
        <w:t xml:space="preserve">CDS framing is simple: Luka reduces aide hours by handling specific supervision tasks. The family is spending their own Medicaid budget — they just need to justify it as a care-related purchase.</w:t>
      </w:r>
    </w:p>
    <w:p>
      <w:pPr>
        <w:spacing w:after="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3560"/>
        <w:gridCol w:w="3000"/>
      </w:tblGrid>
      <w:tr>
        <w:tc>
          <w:tcPr>
            <w:tcW w:type="dxa" w:w="2800"/>
            <w:tcBorders>
              <w:top w:val="single" w:color="CCCCCC" w:sz="1"/>
              <w:left w:val="single" w:color="CCCCCC" w:sz="1"/>
              <w:bottom w:val="single" w:color="CCCCCC" w:sz="1"/>
              <w:right w:val="single" w:color="CCCCCC" w:sz="1"/>
            </w:tcBorders>
            <w:shd w:fill="1F3864" w:val="clear"/>
            <w:tcMar>
              <w:top w:type="dxa" w:w="100"/>
              <w:left w:type="dxa" w:w="150"/>
              <w:bottom w:type="dxa" w:w="100"/>
              <w:right w:type="dxa" w:w="150"/>
            </w:tcMar>
          </w:tcPr>
          <w:p>
            <w:r>
              <w:rPr>
                <w:rFonts w:ascii="Arial" w:cs="Arial" w:eastAsia="Arial" w:hAnsi="Arial"/>
                <w:b/>
                <w:bCs/>
                <w:color w:val="FFFFFF"/>
                <w:sz w:val="18"/>
                <w:szCs w:val="18"/>
              </w:rPr>
              <w:t xml:space="preserve">Care need Luka addresses</w:t>
            </w:r>
          </w:p>
        </w:tc>
        <w:tc>
          <w:tcPr>
            <w:tcW w:type="dxa" w:w="3560"/>
            <w:tcBorders>
              <w:top w:val="single" w:color="CCCCCC" w:sz="1"/>
              <w:left w:val="single" w:color="CCCCCC" w:sz="1"/>
              <w:bottom w:val="single" w:color="CCCCCC" w:sz="1"/>
              <w:right w:val="single" w:color="CCCCCC" w:sz="1"/>
            </w:tcBorders>
            <w:shd w:fill="1F3864" w:val="clear"/>
            <w:tcMar>
              <w:top w:type="dxa" w:w="100"/>
              <w:left w:type="dxa" w:w="150"/>
              <w:bottom w:type="dxa" w:w="100"/>
              <w:right w:type="dxa" w:w="150"/>
            </w:tcMar>
          </w:tcPr>
          <w:p>
            <w:r>
              <w:rPr>
                <w:rFonts w:ascii="Arial" w:cs="Arial" w:eastAsia="Arial" w:hAnsi="Arial"/>
                <w:b/>
                <w:bCs/>
                <w:color w:val="FFFFFF"/>
                <w:sz w:val="18"/>
                <w:szCs w:val="18"/>
              </w:rPr>
              <w:t xml:space="preserve">How to frame for CDS</w:t>
            </w:r>
          </w:p>
        </w:tc>
        <w:tc>
          <w:tcPr>
            <w:tcW w:type="dxa" w:w="3000"/>
            <w:tcBorders>
              <w:top w:val="single" w:color="CCCCCC" w:sz="1"/>
              <w:left w:val="single" w:color="CCCCCC" w:sz="1"/>
              <w:bottom w:val="single" w:color="CCCCCC" w:sz="1"/>
              <w:right w:val="single" w:color="CCCCCC" w:sz="1"/>
            </w:tcBorders>
            <w:shd w:fill="1F3864" w:val="clear"/>
            <w:tcMar>
              <w:top w:type="dxa" w:w="100"/>
              <w:left w:type="dxa" w:w="150"/>
              <w:bottom w:type="dxa" w:w="100"/>
              <w:right w:type="dxa" w:w="150"/>
            </w:tcMar>
          </w:tcPr>
          <w:p>
            <w:r>
              <w:rPr>
                <w:rFonts w:ascii="Arial" w:cs="Arial" w:eastAsia="Arial" w:hAnsi="Arial"/>
                <w:b/>
                <w:bCs/>
                <w:color w:val="FFFFFF"/>
                <w:sz w:val="18"/>
                <w:szCs w:val="18"/>
              </w:rPr>
              <w:t xml:space="preserve">Supporting evidence</w:t>
            </w:r>
          </w:p>
        </w:tc>
      </w:tr>
      <w:tr>
        <w:tc>
          <w:tcPr>
            <w:tcW w:type="dxa" w:w="2800"/>
            <w:tcBorders>
              <w:top w:val="single" w:color="CCCCCC" w:sz="1"/>
              <w:left w:val="single" w:color="CCCCCC" w:sz="1"/>
              <w:bottom w:val="single" w:color="CCCCCC" w:sz="1"/>
              <w:right w:val="single" w:color="CCCCCC" w:sz="1"/>
            </w:tcBorders>
            <w:shd w:fill="F2F2F2" w:val="clear"/>
            <w:tcMar>
              <w:top w:type="dxa" w:w="100"/>
              <w:left w:type="dxa" w:w="150"/>
              <w:bottom w:type="dxa" w:w="100"/>
              <w:right w:type="dxa" w:w="150"/>
            </w:tcMar>
          </w:tcPr>
          <w:p>
            <w:r>
              <w:rPr>
                <w:rFonts w:ascii="Arial" w:cs="Arial" w:eastAsia="Arial" w:hAnsi="Arial"/>
                <w:b/>
                <w:bCs/>
                <w:color w:val="222222"/>
                <w:sz w:val="17"/>
                <w:szCs w:val="17"/>
              </w:rPr>
              <w:t xml:space="preserve">Nighttime supervision</w:t>
            </w:r>
          </w:p>
        </w:tc>
        <w:tc>
          <w:tcPr>
            <w:tcW w:type="dxa" w:w="356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r>
              <w:rPr>
                <w:rFonts w:ascii="Arial" w:cs="Arial" w:eastAsia="Arial" w:hAnsi="Arial"/>
                <w:b w:val="false"/>
                <w:bCs w:val="false"/>
                <w:color w:val="222222"/>
                <w:sz w:val="17"/>
                <w:szCs w:val="17"/>
              </w:rPr>
              <w:t xml:space="preserve">'Luka provides orientation and calming response during night confusion, reducing overnight aide hours'</w:t>
            </w:r>
          </w:p>
        </w:tc>
        <w:tc>
          <w:tcPr>
            <w:tcW w:type="dxa" w:w="30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r>
              <w:rPr>
                <w:rFonts w:ascii="Arial" w:cs="Arial" w:eastAsia="Arial" w:hAnsi="Arial"/>
                <w:b w:val="false"/>
                <w:bCs w:val="false"/>
                <w:color w:val="222222"/>
                <w:sz w:val="17"/>
                <w:szCs w:val="17"/>
              </w:rPr>
              <w:t xml:space="preserve">MD pilot: caregiver sleeping longer on nights with Luka</w:t>
            </w:r>
          </w:p>
        </w:tc>
      </w:tr>
      <w:tr>
        <w:tc>
          <w:tcPr>
            <w:tcW w:type="dxa" w:w="2800"/>
            <w:tcBorders>
              <w:top w:val="single" w:color="CCCCCC" w:sz="1"/>
              <w:left w:val="single" w:color="CCCCCC" w:sz="1"/>
              <w:bottom w:val="single" w:color="CCCCCC" w:sz="1"/>
              <w:right w:val="single" w:color="CCCCCC" w:sz="1"/>
            </w:tcBorders>
            <w:shd w:fill="F2F2F2" w:val="clear"/>
            <w:tcMar>
              <w:top w:type="dxa" w:w="100"/>
              <w:left w:type="dxa" w:w="150"/>
              <w:bottom w:type="dxa" w:w="100"/>
              <w:right w:type="dxa" w:w="150"/>
            </w:tcMar>
          </w:tcPr>
          <w:p>
            <w:r>
              <w:rPr>
                <w:rFonts w:ascii="Arial" w:cs="Arial" w:eastAsia="Arial" w:hAnsi="Arial"/>
                <w:b/>
                <w:bCs/>
                <w:color w:val="222222"/>
                <w:sz w:val="17"/>
                <w:szCs w:val="17"/>
              </w:rPr>
              <w:t xml:space="preserve">Repetitive question management</w:t>
            </w:r>
          </w:p>
        </w:tc>
        <w:tc>
          <w:tcPr>
            <w:tcW w:type="dxa" w:w="356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r>
              <w:rPr>
                <w:rFonts w:ascii="Arial" w:cs="Arial" w:eastAsia="Arial" w:hAnsi="Arial"/>
                <w:b w:val="false"/>
                <w:bCs w:val="false"/>
                <w:color w:val="222222"/>
                <w:sz w:val="17"/>
                <w:szCs w:val="17"/>
              </w:rPr>
              <w:t xml:space="preserve">'Luka answers repeated questions about date, medication, routine — substituting for direct caregiver response'</w:t>
            </w:r>
          </w:p>
        </w:tc>
        <w:tc>
          <w:tcPr>
            <w:tcW w:type="dxa" w:w="30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r>
              <w:rPr>
                <w:rFonts w:ascii="Arial" w:cs="Arial" w:eastAsia="Arial" w:hAnsi="Arial"/>
                <w:b w:val="false"/>
                <w:bCs w:val="false"/>
                <w:color w:val="222222"/>
                <w:sz w:val="17"/>
                <w:szCs w:val="17"/>
              </w:rPr>
              <w:t xml:space="preserve">MD pilot: fewer repeated evening questions</w:t>
            </w:r>
          </w:p>
        </w:tc>
      </w:tr>
      <w:tr>
        <w:tc>
          <w:tcPr>
            <w:tcW w:type="dxa" w:w="2800"/>
            <w:tcBorders>
              <w:top w:val="single" w:color="CCCCCC" w:sz="1"/>
              <w:left w:val="single" w:color="CCCCCC" w:sz="1"/>
              <w:bottom w:val="single" w:color="CCCCCC" w:sz="1"/>
              <w:right w:val="single" w:color="CCCCCC" w:sz="1"/>
            </w:tcBorders>
            <w:shd w:fill="F2F2F2" w:val="clear"/>
            <w:tcMar>
              <w:top w:type="dxa" w:w="100"/>
              <w:left w:type="dxa" w:w="150"/>
              <w:bottom w:type="dxa" w:w="100"/>
              <w:right w:type="dxa" w:w="150"/>
            </w:tcMar>
          </w:tcPr>
          <w:p>
            <w:r>
              <w:rPr>
                <w:rFonts w:ascii="Arial" w:cs="Arial" w:eastAsia="Arial" w:hAnsi="Arial"/>
                <w:b/>
                <w:bCs/>
                <w:color w:val="222222"/>
                <w:sz w:val="17"/>
                <w:szCs w:val="17"/>
              </w:rPr>
              <w:t xml:space="preserve">Daily routine prompting</w:t>
            </w:r>
          </w:p>
        </w:tc>
        <w:tc>
          <w:tcPr>
            <w:tcW w:type="dxa" w:w="356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r>
              <w:rPr>
                <w:rFonts w:ascii="Arial" w:cs="Arial" w:eastAsia="Arial" w:hAnsi="Arial"/>
                <w:b w:val="false"/>
                <w:bCs w:val="false"/>
                <w:color w:val="222222"/>
                <w:sz w:val="17"/>
                <w:szCs w:val="17"/>
              </w:rPr>
              <w:t xml:space="preserve">'Luka provides medication reminders, appointment alerts, structure — replacing some aide scheduling time'</w:t>
            </w:r>
          </w:p>
        </w:tc>
        <w:tc>
          <w:tcPr>
            <w:tcW w:type="dxa" w:w="30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r>
              <w:rPr>
                <w:rFonts w:ascii="Arial" w:cs="Arial" w:eastAsia="Arial" w:hAnsi="Arial"/>
                <w:b w:val="false"/>
                <w:bCs w:val="false"/>
                <w:color w:val="222222"/>
                <w:sz w:val="17"/>
                <w:szCs w:val="17"/>
              </w:rPr>
              <w:t xml:space="preserve">Feature: reminders, orientation, daily support</w:t>
            </w:r>
          </w:p>
        </w:tc>
      </w:tr>
      <w:tr>
        <w:tc>
          <w:tcPr>
            <w:tcW w:type="dxa" w:w="2800"/>
            <w:tcBorders>
              <w:top w:val="single" w:color="CCCCCC" w:sz="1"/>
              <w:left w:val="single" w:color="CCCCCC" w:sz="1"/>
              <w:bottom w:val="single" w:color="CCCCCC" w:sz="1"/>
              <w:right w:val="single" w:color="CCCCCC" w:sz="1"/>
            </w:tcBorders>
            <w:shd w:fill="F2F2F2" w:val="clear"/>
            <w:tcMar>
              <w:top w:type="dxa" w:w="100"/>
              <w:left w:type="dxa" w:w="150"/>
              <w:bottom w:type="dxa" w:w="100"/>
              <w:right w:type="dxa" w:w="150"/>
            </w:tcMar>
          </w:tcPr>
          <w:p>
            <w:r>
              <w:rPr>
                <w:rFonts w:ascii="Arial" w:cs="Arial" w:eastAsia="Arial" w:hAnsi="Arial"/>
                <w:b/>
                <w:bCs/>
                <w:color w:val="222222"/>
                <w:sz w:val="17"/>
                <w:szCs w:val="17"/>
              </w:rPr>
              <w:t xml:space="preserve">Safety monitoring</w:t>
            </w:r>
          </w:p>
        </w:tc>
        <w:tc>
          <w:tcPr>
            <w:tcW w:type="dxa" w:w="356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r>
              <w:rPr>
                <w:rFonts w:ascii="Arial" w:cs="Arial" w:eastAsia="Arial" w:hAnsi="Arial"/>
                <w:b w:val="false"/>
                <w:bCs w:val="false"/>
                <w:color w:val="222222"/>
                <w:sz w:val="17"/>
                <w:szCs w:val="17"/>
              </w:rPr>
              <w:t xml:space="preserve">'Cognitive Guardian monitors nighttime movement and distress — reduces overnight supervision aide need'</w:t>
            </w:r>
          </w:p>
        </w:tc>
        <w:tc>
          <w:tcPr>
            <w:tcW w:type="dxa" w:w="30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r>
              <w:rPr>
                <w:rFonts w:ascii="Arial" w:cs="Arial" w:eastAsia="Arial" w:hAnsi="Arial"/>
                <w:b w:val="false"/>
                <w:bCs w:val="false"/>
                <w:color w:val="222222"/>
                <w:sz w:val="17"/>
                <w:szCs w:val="17"/>
              </w:rPr>
              <w:t xml:space="preserve">Feature: motion-triggered response, caregiver alerts</w:t>
            </w:r>
          </w:p>
        </w:tc>
      </w:tr>
    </w:tbl>
    <w:p>
      <w:pPr>
        <w:spacing w:after="12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1F3864" w:val="clear"/>
            <w:tcMar>
              <w:top w:type="dxa" w:w="110"/>
              <w:left w:type="dxa" w:w="200"/>
              <w:bottom w:type="dxa" w:w="110"/>
              <w:right w:type="dxa" w:w="200"/>
            </w:tcMar>
          </w:tcPr>
          <w:p>
            <w:r>
              <w:rPr>
                <w:rFonts w:ascii="Arial" w:cs="Arial" w:eastAsia="Arial" w:hAnsi="Arial"/>
                <w:b/>
                <w:bCs/>
                <w:color w:val="FFFFFF"/>
                <w:sz w:val="24"/>
                <w:szCs w:val="24"/>
              </w:rPr>
              <w:t xml:space="preserve">4.  PRICING</w:t>
            </w:r>
          </w:p>
        </w:tc>
      </w:tr>
    </w:tbl>
    <w:p>
      <w:pPr>
        <w:spacing w:after="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600"/>
        <w:gridCol w:w="1200"/>
        <w:gridCol w:w="1400"/>
        <w:gridCol w:w="1400"/>
        <w:gridCol w:w="1560"/>
        <w:gridCol w:w="1200"/>
      </w:tblGrid>
      <w:tr>
        <w:tc>
          <w:tcPr>
            <w:tcW w:type="dxa" w:w="1600"/>
            <w:tcBorders>
              <w:top w:val="single" w:color="CCCCCC" w:sz="1"/>
              <w:left w:val="single" w:color="CCCCCC" w:sz="1"/>
              <w:bottom w:val="single" w:color="CCCCCC" w:sz="1"/>
              <w:right w:val="single" w:color="CCCCCC" w:sz="1"/>
            </w:tcBorders>
            <w:shd w:fill="1F3864" w:val="clear"/>
            <w:tcMar>
              <w:top w:type="dxa" w:w="100"/>
              <w:left w:type="dxa" w:w="150"/>
              <w:bottom w:type="dxa" w:w="100"/>
              <w:right w:type="dxa" w:w="150"/>
            </w:tcMar>
          </w:tcPr>
          <w:p>
            <w:pPr>
              <w:jc w:val="center"/>
            </w:pPr>
            <w:r>
              <w:rPr>
                <w:rFonts w:ascii="Arial" w:cs="Arial" w:eastAsia="Arial" w:hAnsi="Arial"/>
                <w:b/>
                <w:bCs/>
                <w:color w:val="FFFFFF"/>
                <w:sz w:val="17"/>
                <w:szCs w:val="17"/>
              </w:rPr>
              <w:t xml:space="preserve">Model</w:t>
            </w:r>
          </w:p>
        </w:tc>
        <w:tc>
          <w:tcPr>
            <w:tcW w:type="dxa" w:w="1200"/>
            <w:tcBorders>
              <w:top w:val="single" w:color="CCCCCC" w:sz="1"/>
              <w:left w:val="single" w:color="CCCCCC" w:sz="1"/>
              <w:bottom w:val="single" w:color="CCCCCC" w:sz="1"/>
              <w:right w:val="single" w:color="CCCCCC" w:sz="1"/>
            </w:tcBorders>
            <w:shd w:fill="1F3864" w:val="clear"/>
            <w:tcMar>
              <w:top w:type="dxa" w:w="100"/>
              <w:left w:type="dxa" w:w="150"/>
              <w:bottom w:type="dxa" w:w="100"/>
              <w:right w:type="dxa" w:w="150"/>
            </w:tcMar>
          </w:tcPr>
          <w:p>
            <w:pPr>
              <w:jc w:val="center"/>
            </w:pPr>
            <w:r>
              <w:rPr>
                <w:rFonts w:ascii="Arial" w:cs="Arial" w:eastAsia="Arial" w:hAnsi="Arial"/>
                <w:b/>
                <w:bCs/>
                <w:color w:val="FFFFFF"/>
                <w:sz w:val="17"/>
                <w:szCs w:val="17"/>
              </w:rPr>
              <w:t xml:space="preserve">Screen</w:t>
            </w:r>
          </w:p>
        </w:tc>
        <w:tc>
          <w:tcPr>
            <w:tcW w:type="dxa" w:w="1400"/>
            <w:tcBorders>
              <w:top w:val="single" w:color="CCCCCC" w:sz="1"/>
              <w:left w:val="single" w:color="CCCCCC" w:sz="1"/>
              <w:bottom w:val="single" w:color="CCCCCC" w:sz="1"/>
              <w:right w:val="single" w:color="CCCCCC" w:sz="1"/>
            </w:tcBorders>
            <w:shd w:fill="1F3864" w:val="clear"/>
            <w:tcMar>
              <w:top w:type="dxa" w:w="100"/>
              <w:left w:type="dxa" w:w="150"/>
              <w:bottom w:type="dxa" w:w="100"/>
              <w:right w:type="dxa" w:w="150"/>
            </w:tcMar>
          </w:tcPr>
          <w:p>
            <w:pPr>
              <w:jc w:val="center"/>
            </w:pPr>
            <w:r>
              <w:rPr>
                <w:rFonts w:ascii="Arial" w:cs="Arial" w:eastAsia="Arial" w:hAnsi="Arial"/>
                <w:b/>
                <w:bCs/>
                <w:color w:val="FFFFFF"/>
                <w:sz w:val="17"/>
                <w:szCs w:val="17"/>
              </w:rPr>
              <w:t xml:space="preserve">Monthly Rental</w:t>
            </w:r>
          </w:p>
        </w:tc>
        <w:tc>
          <w:tcPr>
            <w:tcW w:type="dxa" w:w="1400"/>
            <w:tcBorders>
              <w:top w:val="single" w:color="CCCCCC" w:sz="1"/>
              <w:left w:val="single" w:color="CCCCCC" w:sz="1"/>
              <w:bottom w:val="single" w:color="CCCCCC" w:sz="1"/>
              <w:right w:val="single" w:color="CCCCCC" w:sz="1"/>
            </w:tcBorders>
            <w:shd w:fill="1F3864" w:val="clear"/>
            <w:tcMar>
              <w:top w:type="dxa" w:w="100"/>
              <w:left w:type="dxa" w:w="150"/>
              <w:bottom w:type="dxa" w:w="100"/>
              <w:right w:type="dxa" w:w="150"/>
            </w:tcMar>
          </w:tcPr>
          <w:p>
            <w:pPr>
              <w:jc w:val="center"/>
            </w:pPr>
            <w:r>
              <w:rPr>
                <w:rFonts w:ascii="Arial" w:cs="Arial" w:eastAsia="Arial" w:hAnsi="Arial"/>
                <w:b/>
                <w:bCs/>
                <w:color w:val="FFFFFF"/>
                <w:sz w:val="17"/>
                <w:szCs w:val="17"/>
              </w:rPr>
              <w:t xml:space="preserve">Own It — Device</w:t>
            </w:r>
          </w:p>
        </w:tc>
        <w:tc>
          <w:tcPr>
            <w:tcW w:type="dxa" w:w="1560"/>
            <w:tcBorders>
              <w:top w:val="single" w:color="CCCCCC" w:sz="1"/>
              <w:left w:val="single" w:color="CCCCCC" w:sz="1"/>
              <w:bottom w:val="single" w:color="CCCCCC" w:sz="1"/>
              <w:right w:val="single" w:color="CCCCCC" w:sz="1"/>
            </w:tcBorders>
            <w:shd w:fill="1F3864" w:val="clear"/>
            <w:tcMar>
              <w:top w:type="dxa" w:w="100"/>
              <w:left w:type="dxa" w:w="150"/>
              <w:bottom w:type="dxa" w:w="100"/>
              <w:right w:type="dxa" w:w="150"/>
            </w:tcMar>
          </w:tcPr>
          <w:p>
            <w:pPr>
              <w:jc w:val="center"/>
            </w:pPr>
            <w:r>
              <w:rPr>
                <w:rFonts w:ascii="Arial" w:cs="Arial" w:eastAsia="Arial" w:hAnsi="Arial"/>
                <w:b/>
                <w:bCs/>
                <w:color w:val="FFFFFF"/>
                <w:sz w:val="17"/>
                <w:szCs w:val="17"/>
              </w:rPr>
              <w:t xml:space="preserve">Own It — Service</w:t>
            </w:r>
          </w:p>
        </w:tc>
        <w:tc>
          <w:tcPr>
            <w:tcW w:type="dxa" w:w="1200"/>
            <w:tcBorders>
              <w:top w:val="single" w:color="CCCCCC" w:sz="1"/>
              <w:left w:val="single" w:color="CCCCCC" w:sz="1"/>
              <w:bottom w:val="single" w:color="CCCCCC" w:sz="1"/>
              <w:right w:val="single" w:color="CCCCCC" w:sz="1"/>
            </w:tcBorders>
            <w:shd w:fill="1F3864" w:val="clear"/>
            <w:tcMar>
              <w:top w:type="dxa" w:w="100"/>
              <w:left w:type="dxa" w:w="150"/>
              <w:bottom w:type="dxa" w:w="100"/>
              <w:right w:type="dxa" w:w="150"/>
            </w:tcMar>
          </w:tcPr>
          <w:p>
            <w:pPr>
              <w:jc w:val="center"/>
            </w:pPr>
            <w:r>
              <w:rPr>
                <w:rFonts w:ascii="Arial" w:cs="Arial" w:eastAsia="Arial" w:hAnsi="Arial"/>
                <w:b/>
                <w:bCs/>
                <w:color w:val="FFFFFF"/>
                <w:sz w:val="17"/>
                <w:szCs w:val="17"/>
              </w:rPr>
              <w:t xml:space="preserve">Max Users</w:t>
            </w:r>
          </w:p>
        </w:tc>
      </w:tr>
      <w:tr>
        <w:tc>
          <w:tcPr>
            <w:tcW w:type="dxa" w:w="1600"/>
            <w:tcBorders>
              <w:top w:val="single" w:color="CCCCCC" w:sz="1"/>
              <w:left w:val="single" w:color="CCCCCC" w:sz="1"/>
              <w:bottom w:val="single" w:color="CCCCCC" w:sz="1"/>
              <w:right w:val="single" w:color="CCCCCC" w:sz="1"/>
            </w:tcBorders>
            <w:shd w:fill="F2F2F2" w:val="clear"/>
            <w:tcMar>
              <w:top w:type="dxa" w:w="100"/>
              <w:left w:type="dxa" w:w="150"/>
              <w:bottom w:type="dxa" w:w="100"/>
              <w:right w:type="dxa" w:w="150"/>
            </w:tcMar>
          </w:tcPr>
          <w:p>
            <w:pPr>
              <w:jc w:val="center"/>
            </w:pPr>
            <w:r>
              <w:rPr>
                <w:rFonts w:ascii="Arial" w:cs="Arial" w:eastAsia="Arial" w:hAnsi="Arial"/>
                <w:b/>
                <w:bCs/>
                <w:color w:val="222222"/>
                <w:sz w:val="17"/>
                <w:szCs w:val="17"/>
              </w:rPr>
              <w:t xml:space="preserve">Luka Compact</w:t>
            </w:r>
          </w:p>
        </w:tc>
        <w:tc>
          <w:tcPr>
            <w:tcW w:type="dxa" w:w="1200"/>
            <w:tcBorders>
              <w:top w:val="single" w:color="CCCCCC" w:sz="1"/>
              <w:left w:val="single" w:color="CCCCCC" w:sz="1"/>
              <w:bottom w:val="single" w:color="CCCCCC" w:sz="1"/>
              <w:right w:val="single" w:color="CCCCCC" w:sz="1"/>
            </w:tcBorders>
            <w:shd w:fill="F2F2F2" w:val="clear"/>
            <w:tcMar>
              <w:top w:type="dxa" w:w="100"/>
              <w:left w:type="dxa" w:w="150"/>
              <w:bottom w:type="dxa" w:w="100"/>
              <w:right w:type="dxa" w:w="150"/>
            </w:tcMar>
          </w:tcPr>
          <w:p>
            <w:pPr>
              <w:jc w:val="center"/>
            </w:pPr>
            <w:r>
              <w:rPr>
                <w:rFonts w:ascii="Arial" w:cs="Arial" w:eastAsia="Arial" w:hAnsi="Arial"/>
                <w:b w:val="false"/>
                <w:bCs w:val="false"/>
                <w:color w:val="222222"/>
                <w:sz w:val="17"/>
                <w:szCs w:val="17"/>
              </w:rPr>
              <w:t xml:space="preserve">7"</w:t>
            </w:r>
          </w:p>
        </w:tc>
        <w:tc>
          <w:tcPr>
            <w:tcW w:type="dxa" w:w="1400"/>
            <w:tcBorders>
              <w:top w:val="single" w:color="CCCCCC" w:sz="1"/>
              <w:left w:val="single" w:color="CCCCCC" w:sz="1"/>
              <w:bottom w:val="single" w:color="CCCCCC" w:sz="1"/>
              <w:right w:val="single" w:color="CCCCCC" w:sz="1"/>
            </w:tcBorders>
            <w:shd w:fill="F2F2F2" w:val="clear"/>
            <w:tcMar>
              <w:top w:type="dxa" w:w="100"/>
              <w:left w:type="dxa" w:w="150"/>
              <w:bottom w:type="dxa" w:w="100"/>
              <w:right w:type="dxa" w:w="150"/>
            </w:tcMar>
          </w:tcPr>
          <w:p>
            <w:pPr>
              <w:jc w:val="center"/>
            </w:pPr>
            <w:r>
              <w:rPr>
                <w:rFonts w:ascii="Arial" w:cs="Arial" w:eastAsia="Arial" w:hAnsi="Arial"/>
                <w:b w:val="false"/>
                <w:bCs w:val="false"/>
                <w:color w:val="222222"/>
                <w:sz w:val="17"/>
                <w:szCs w:val="17"/>
              </w:rPr>
              <w:t xml:space="preserve">$99/mo</w:t>
            </w:r>
          </w:p>
        </w:tc>
        <w:tc>
          <w:tcPr>
            <w:tcW w:type="dxa" w:w="1400"/>
            <w:tcBorders>
              <w:top w:val="single" w:color="CCCCCC" w:sz="1"/>
              <w:left w:val="single" w:color="CCCCCC" w:sz="1"/>
              <w:bottom w:val="single" w:color="CCCCCC" w:sz="1"/>
              <w:right w:val="single" w:color="CCCCCC" w:sz="1"/>
            </w:tcBorders>
            <w:shd w:fill="F2F2F2" w:val="clear"/>
            <w:tcMar>
              <w:top w:type="dxa" w:w="100"/>
              <w:left w:type="dxa" w:w="150"/>
              <w:bottom w:type="dxa" w:w="100"/>
              <w:right w:type="dxa" w:w="150"/>
            </w:tcMar>
          </w:tcPr>
          <w:p>
            <w:pPr>
              <w:jc w:val="center"/>
            </w:pPr>
            <w:r>
              <w:rPr>
                <w:rFonts w:ascii="Arial" w:cs="Arial" w:eastAsia="Arial" w:hAnsi="Arial"/>
                <w:b w:val="false"/>
                <w:bCs w:val="false"/>
                <w:color w:val="222222"/>
                <w:sz w:val="17"/>
                <w:szCs w:val="17"/>
              </w:rPr>
              <w:t xml:space="preserve">$499</w:t>
            </w:r>
          </w:p>
        </w:tc>
        <w:tc>
          <w:tcPr>
            <w:tcW w:type="dxa" w:w="1560"/>
            <w:tcBorders>
              <w:top w:val="single" w:color="CCCCCC" w:sz="1"/>
              <w:left w:val="single" w:color="CCCCCC" w:sz="1"/>
              <w:bottom w:val="single" w:color="CCCCCC" w:sz="1"/>
              <w:right w:val="single" w:color="CCCCCC" w:sz="1"/>
            </w:tcBorders>
            <w:shd w:fill="F2F2F2" w:val="clear"/>
            <w:tcMar>
              <w:top w:type="dxa" w:w="100"/>
              <w:left w:type="dxa" w:w="150"/>
              <w:bottom w:type="dxa" w:w="100"/>
              <w:right w:type="dxa" w:w="150"/>
            </w:tcMar>
          </w:tcPr>
          <w:p>
            <w:pPr>
              <w:jc w:val="center"/>
            </w:pPr>
            <w:r>
              <w:rPr>
                <w:rFonts w:ascii="Arial" w:cs="Arial" w:eastAsia="Arial" w:hAnsi="Arial"/>
                <w:b w:val="false"/>
                <w:bCs w:val="false"/>
                <w:color w:val="222222"/>
                <w:sz w:val="17"/>
                <w:szCs w:val="17"/>
              </w:rPr>
              <w:t xml:space="preserve">$59/mo</w:t>
            </w:r>
          </w:p>
        </w:tc>
        <w:tc>
          <w:tcPr>
            <w:tcW w:type="dxa" w:w="1200"/>
            <w:tcBorders>
              <w:top w:val="single" w:color="CCCCCC" w:sz="1"/>
              <w:left w:val="single" w:color="CCCCCC" w:sz="1"/>
              <w:bottom w:val="single" w:color="CCCCCC" w:sz="1"/>
              <w:right w:val="single" w:color="CCCCCC" w:sz="1"/>
            </w:tcBorders>
            <w:shd w:fill="F2F2F2" w:val="clear"/>
            <w:tcMar>
              <w:top w:type="dxa" w:w="100"/>
              <w:left w:type="dxa" w:w="150"/>
              <w:bottom w:type="dxa" w:w="100"/>
              <w:right w:type="dxa" w:w="150"/>
            </w:tcMar>
          </w:tcPr>
          <w:p>
            <w:pPr>
              <w:jc w:val="center"/>
            </w:pPr>
            <w:r>
              <w:rPr>
                <w:rFonts w:ascii="Arial" w:cs="Arial" w:eastAsia="Arial" w:hAnsi="Arial"/>
                <w:b w:val="false"/>
                <w:bCs w:val="false"/>
                <w:color w:val="222222"/>
                <w:sz w:val="17"/>
                <w:szCs w:val="17"/>
              </w:rPr>
              <w:t xml:space="preserve">5 users</w:t>
            </w:r>
          </w:p>
        </w:tc>
      </w:tr>
      <w:tr>
        <w:tc>
          <w:tcPr>
            <w:tcW w:type="dxa" w:w="16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pPr>
              <w:jc w:val="center"/>
            </w:pPr>
            <w:r>
              <w:rPr>
                <w:rFonts w:ascii="Arial" w:cs="Arial" w:eastAsia="Arial" w:hAnsi="Arial"/>
                <w:b/>
                <w:bCs/>
                <w:color w:val="222222"/>
                <w:sz w:val="17"/>
                <w:szCs w:val="17"/>
              </w:rPr>
              <w:t xml:space="preserve">Luka Standard</w:t>
            </w:r>
          </w:p>
        </w:tc>
        <w:tc>
          <w:tcPr>
            <w:tcW w:type="dxa" w:w="12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pPr>
              <w:jc w:val="center"/>
            </w:pPr>
            <w:r>
              <w:rPr>
                <w:rFonts w:ascii="Arial" w:cs="Arial" w:eastAsia="Arial" w:hAnsi="Arial"/>
                <w:b w:val="false"/>
                <w:bCs w:val="false"/>
                <w:color w:val="222222"/>
                <w:sz w:val="17"/>
                <w:szCs w:val="17"/>
              </w:rPr>
              <w:t xml:space="preserve">10"</w:t>
            </w:r>
          </w:p>
        </w:tc>
        <w:tc>
          <w:tcPr>
            <w:tcW w:type="dxa" w:w="14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pPr>
              <w:jc w:val="center"/>
            </w:pPr>
            <w:r>
              <w:rPr>
                <w:rFonts w:ascii="Arial" w:cs="Arial" w:eastAsia="Arial" w:hAnsi="Arial"/>
                <w:b w:val="false"/>
                <w:bCs w:val="false"/>
                <w:color w:val="222222"/>
                <w:sz w:val="17"/>
                <w:szCs w:val="17"/>
              </w:rPr>
              <w:t xml:space="preserve">$129/mo</w:t>
            </w:r>
          </w:p>
        </w:tc>
        <w:tc>
          <w:tcPr>
            <w:tcW w:type="dxa" w:w="14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pPr>
              <w:jc w:val="center"/>
            </w:pPr>
            <w:r>
              <w:rPr>
                <w:rFonts w:ascii="Arial" w:cs="Arial" w:eastAsia="Arial" w:hAnsi="Arial"/>
                <w:b w:val="false"/>
                <w:bCs w:val="false"/>
                <w:color w:val="222222"/>
                <w:sz w:val="17"/>
                <w:szCs w:val="17"/>
              </w:rPr>
              <w:t xml:space="preserve">$599</w:t>
            </w:r>
          </w:p>
        </w:tc>
        <w:tc>
          <w:tcPr>
            <w:tcW w:type="dxa" w:w="156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pPr>
              <w:jc w:val="center"/>
            </w:pPr>
            <w:r>
              <w:rPr>
                <w:rFonts w:ascii="Arial" w:cs="Arial" w:eastAsia="Arial" w:hAnsi="Arial"/>
                <w:b w:val="false"/>
                <w:bCs w:val="false"/>
                <w:color w:val="222222"/>
                <w:sz w:val="17"/>
                <w:szCs w:val="17"/>
              </w:rPr>
              <w:t xml:space="preserve">$79/mo</w:t>
            </w:r>
          </w:p>
        </w:tc>
        <w:tc>
          <w:tcPr>
            <w:tcW w:type="dxa" w:w="12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pPr>
              <w:jc w:val="center"/>
            </w:pPr>
            <w:r>
              <w:rPr>
                <w:rFonts w:ascii="Arial" w:cs="Arial" w:eastAsia="Arial" w:hAnsi="Arial"/>
                <w:b w:val="false"/>
                <w:bCs w:val="false"/>
                <w:color w:val="222222"/>
                <w:sz w:val="17"/>
                <w:szCs w:val="17"/>
              </w:rPr>
              <w:t xml:space="preserve">10 users</w:t>
            </w:r>
          </w:p>
        </w:tc>
      </w:tr>
      <w:tr>
        <w:tc>
          <w:tcPr>
            <w:tcW w:type="dxa" w:w="1600"/>
            <w:tcBorders>
              <w:top w:val="single" w:color="CCCCCC" w:sz="1"/>
              <w:left w:val="single" w:color="CCCCCC" w:sz="1"/>
              <w:bottom w:val="single" w:color="CCCCCC" w:sz="1"/>
              <w:right w:val="single" w:color="CCCCCC" w:sz="1"/>
            </w:tcBorders>
            <w:shd w:fill="F2F2F2" w:val="clear"/>
            <w:tcMar>
              <w:top w:type="dxa" w:w="100"/>
              <w:left w:type="dxa" w:w="150"/>
              <w:bottom w:type="dxa" w:w="100"/>
              <w:right w:type="dxa" w:w="150"/>
            </w:tcMar>
          </w:tcPr>
          <w:p>
            <w:pPr>
              <w:jc w:val="center"/>
            </w:pPr>
            <w:r>
              <w:rPr>
                <w:rFonts w:ascii="Arial" w:cs="Arial" w:eastAsia="Arial" w:hAnsi="Arial"/>
                <w:b/>
                <w:bCs/>
                <w:color w:val="222222"/>
                <w:sz w:val="17"/>
                <w:szCs w:val="17"/>
              </w:rPr>
              <w:t xml:space="preserve">Luka Pro</w:t>
            </w:r>
          </w:p>
        </w:tc>
        <w:tc>
          <w:tcPr>
            <w:tcW w:type="dxa" w:w="1200"/>
            <w:tcBorders>
              <w:top w:val="single" w:color="CCCCCC" w:sz="1"/>
              <w:left w:val="single" w:color="CCCCCC" w:sz="1"/>
              <w:bottom w:val="single" w:color="CCCCCC" w:sz="1"/>
              <w:right w:val="single" w:color="CCCCCC" w:sz="1"/>
            </w:tcBorders>
            <w:shd w:fill="F2F2F2" w:val="clear"/>
            <w:tcMar>
              <w:top w:type="dxa" w:w="100"/>
              <w:left w:type="dxa" w:w="150"/>
              <w:bottom w:type="dxa" w:w="100"/>
              <w:right w:type="dxa" w:w="150"/>
            </w:tcMar>
          </w:tcPr>
          <w:p>
            <w:pPr>
              <w:jc w:val="center"/>
            </w:pPr>
            <w:r>
              <w:rPr>
                <w:rFonts w:ascii="Arial" w:cs="Arial" w:eastAsia="Arial" w:hAnsi="Arial"/>
                <w:b w:val="false"/>
                <w:bCs w:val="false"/>
                <w:color w:val="222222"/>
                <w:sz w:val="17"/>
                <w:szCs w:val="17"/>
              </w:rPr>
              <w:t xml:space="preserve">13"</w:t>
            </w:r>
          </w:p>
        </w:tc>
        <w:tc>
          <w:tcPr>
            <w:tcW w:type="dxa" w:w="1400"/>
            <w:tcBorders>
              <w:top w:val="single" w:color="CCCCCC" w:sz="1"/>
              <w:left w:val="single" w:color="CCCCCC" w:sz="1"/>
              <w:bottom w:val="single" w:color="CCCCCC" w:sz="1"/>
              <w:right w:val="single" w:color="CCCCCC" w:sz="1"/>
            </w:tcBorders>
            <w:shd w:fill="F2F2F2" w:val="clear"/>
            <w:tcMar>
              <w:top w:type="dxa" w:w="100"/>
              <w:left w:type="dxa" w:w="150"/>
              <w:bottom w:type="dxa" w:w="100"/>
              <w:right w:type="dxa" w:w="150"/>
            </w:tcMar>
          </w:tcPr>
          <w:p>
            <w:pPr>
              <w:jc w:val="center"/>
            </w:pPr>
            <w:r>
              <w:rPr>
                <w:rFonts w:ascii="Arial" w:cs="Arial" w:eastAsia="Arial" w:hAnsi="Arial"/>
                <w:b w:val="false"/>
                <w:bCs w:val="false"/>
                <w:color w:val="222222"/>
                <w:sz w:val="17"/>
                <w:szCs w:val="17"/>
              </w:rPr>
              <w:t xml:space="preserve">$179/mo</w:t>
            </w:r>
          </w:p>
        </w:tc>
        <w:tc>
          <w:tcPr>
            <w:tcW w:type="dxa" w:w="1400"/>
            <w:tcBorders>
              <w:top w:val="single" w:color="CCCCCC" w:sz="1"/>
              <w:left w:val="single" w:color="CCCCCC" w:sz="1"/>
              <w:bottom w:val="single" w:color="CCCCCC" w:sz="1"/>
              <w:right w:val="single" w:color="CCCCCC" w:sz="1"/>
            </w:tcBorders>
            <w:shd w:fill="F2F2F2" w:val="clear"/>
            <w:tcMar>
              <w:top w:type="dxa" w:w="100"/>
              <w:left w:type="dxa" w:w="150"/>
              <w:bottom w:type="dxa" w:w="100"/>
              <w:right w:type="dxa" w:w="150"/>
            </w:tcMar>
          </w:tcPr>
          <w:p>
            <w:pPr>
              <w:jc w:val="center"/>
            </w:pPr>
            <w:r>
              <w:rPr>
                <w:rFonts w:ascii="Arial" w:cs="Arial" w:eastAsia="Arial" w:hAnsi="Arial"/>
                <w:b w:val="false"/>
                <w:bCs w:val="false"/>
                <w:color w:val="222222"/>
                <w:sz w:val="17"/>
                <w:szCs w:val="17"/>
              </w:rPr>
              <w:t xml:space="preserve">$699</w:t>
            </w:r>
          </w:p>
        </w:tc>
        <w:tc>
          <w:tcPr>
            <w:tcW w:type="dxa" w:w="1560"/>
            <w:tcBorders>
              <w:top w:val="single" w:color="CCCCCC" w:sz="1"/>
              <w:left w:val="single" w:color="CCCCCC" w:sz="1"/>
              <w:bottom w:val="single" w:color="CCCCCC" w:sz="1"/>
              <w:right w:val="single" w:color="CCCCCC" w:sz="1"/>
            </w:tcBorders>
            <w:shd w:fill="F2F2F2" w:val="clear"/>
            <w:tcMar>
              <w:top w:type="dxa" w:w="100"/>
              <w:left w:type="dxa" w:w="150"/>
              <w:bottom w:type="dxa" w:w="100"/>
              <w:right w:type="dxa" w:w="150"/>
            </w:tcMar>
          </w:tcPr>
          <w:p>
            <w:pPr>
              <w:jc w:val="center"/>
            </w:pPr>
            <w:r>
              <w:rPr>
                <w:rFonts w:ascii="Arial" w:cs="Arial" w:eastAsia="Arial" w:hAnsi="Arial"/>
                <w:b w:val="false"/>
                <w:bCs w:val="false"/>
                <w:color w:val="222222"/>
                <w:sz w:val="17"/>
                <w:szCs w:val="17"/>
              </w:rPr>
              <w:t xml:space="preserve">$99/mo</w:t>
            </w:r>
          </w:p>
        </w:tc>
        <w:tc>
          <w:tcPr>
            <w:tcW w:type="dxa" w:w="1200"/>
            <w:tcBorders>
              <w:top w:val="single" w:color="CCCCCC" w:sz="1"/>
              <w:left w:val="single" w:color="CCCCCC" w:sz="1"/>
              <w:bottom w:val="single" w:color="CCCCCC" w:sz="1"/>
              <w:right w:val="single" w:color="CCCCCC" w:sz="1"/>
            </w:tcBorders>
            <w:shd w:fill="F2F2F2" w:val="clear"/>
            <w:tcMar>
              <w:top w:type="dxa" w:w="100"/>
              <w:left w:type="dxa" w:w="150"/>
              <w:bottom w:type="dxa" w:w="100"/>
              <w:right w:type="dxa" w:w="150"/>
            </w:tcMar>
          </w:tcPr>
          <w:p>
            <w:pPr>
              <w:jc w:val="center"/>
            </w:pPr>
            <w:r>
              <w:rPr>
                <w:rFonts w:ascii="Arial" w:cs="Arial" w:eastAsia="Arial" w:hAnsi="Arial"/>
                <w:b w:val="false"/>
                <w:bCs w:val="false"/>
                <w:color w:val="222222"/>
                <w:sz w:val="17"/>
                <w:szCs w:val="17"/>
              </w:rPr>
              <w:t xml:space="preserve">25 users</w:t>
            </w:r>
          </w:p>
        </w:tc>
      </w:tr>
      <w:tr>
        <w:tc>
          <w:tcPr>
            <w:tcW w:type="dxa" w:w="16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pPr>
              <w:jc w:val="center"/>
            </w:pPr>
            <w:r>
              <w:rPr>
                <w:rFonts w:ascii="Arial" w:cs="Arial" w:eastAsia="Arial" w:hAnsi="Arial"/>
                <w:b/>
                <w:bCs/>
                <w:color w:val="222222"/>
                <w:sz w:val="17"/>
                <w:szCs w:val="17"/>
              </w:rPr>
              <w:t xml:space="preserve">Additional users</w:t>
            </w:r>
          </w:p>
        </w:tc>
        <w:tc>
          <w:tcPr>
            <w:tcW w:type="dxa" w:w="12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pPr>
              <w:jc w:val="center"/>
            </w:pPr>
            <w:r>
              <w:rPr>
                <w:rFonts w:ascii="Arial" w:cs="Arial" w:eastAsia="Arial" w:hAnsi="Arial"/>
                <w:b w:val="false"/>
                <w:bCs w:val="false"/>
                <w:color w:val="222222"/>
                <w:sz w:val="17"/>
                <w:szCs w:val="17"/>
              </w:rPr>
              <w:t xml:space="preserve">—</w:t>
            </w:r>
          </w:p>
        </w:tc>
        <w:tc>
          <w:tcPr>
            <w:tcW w:type="dxa" w:w="14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pPr>
              <w:jc w:val="center"/>
            </w:pPr>
            <w:r>
              <w:rPr>
                <w:rFonts w:ascii="Arial" w:cs="Arial" w:eastAsia="Arial" w:hAnsi="Arial"/>
                <w:b w:val="false"/>
                <w:bCs w:val="false"/>
                <w:color w:val="222222"/>
                <w:sz w:val="17"/>
                <w:szCs w:val="17"/>
              </w:rPr>
              <w:t xml:space="preserve">+ $10/mo each</w:t>
            </w:r>
          </w:p>
        </w:tc>
        <w:tc>
          <w:tcPr>
            <w:tcW w:type="dxa" w:w="14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pPr>
              <w:jc w:val="center"/>
            </w:pPr>
            <w:r>
              <w:rPr>
                <w:rFonts w:ascii="Arial" w:cs="Arial" w:eastAsia="Arial" w:hAnsi="Arial"/>
                <w:b w:val="false"/>
                <w:bCs w:val="false"/>
                <w:color w:val="222222"/>
                <w:sz w:val="17"/>
                <w:szCs w:val="17"/>
              </w:rPr>
              <w:t xml:space="preserve">—</w:t>
            </w:r>
          </w:p>
        </w:tc>
        <w:tc>
          <w:tcPr>
            <w:tcW w:type="dxa" w:w="156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pPr>
              <w:jc w:val="center"/>
            </w:pPr>
            <w:r>
              <w:rPr>
                <w:rFonts w:ascii="Arial" w:cs="Arial" w:eastAsia="Arial" w:hAnsi="Arial"/>
                <w:b w:val="false"/>
                <w:bCs w:val="false"/>
                <w:color w:val="222222"/>
                <w:sz w:val="17"/>
                <w:szCs w:val="17"/>
              </w:rPr>
              <w:t xml:space="preserve">+ $10/mo each</w:t>
            </w:r>
          </w:p>
        </w:tc>
        <w:tc>
          <w:tcPr>
            <w:tcW w:type="dxa" w:w="12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pPr>
              <w:jc w:val="center"/>
            </w:pPr>
            <w:r>
              <w:rPr>
                <w:rFonts w:ascii="Arial" w:cs="Arial" w:eastAsia="Arial" w:hAnsi="Arial"/>
                <w:b w:val="false"/>
                <w:bCs w:val="false"/>
                <w:color w:val="222222"/>
                <w:sz w:val="17"/>
                <w:szCs w:val="17"/>
              </w:rPr>
              <w:t xml:space="preserve">—</w:t>
            </w:r>
          </w:p>
        </w:tc>
      </w:tr>
    </w:tbl>
    <w:p>
      <w:pPr>
        <w:spacing w:after="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CCCCCC" w:sz="1"/>
              <w:left w:val="single" w:color="CCCCCC" w:sz="1"/>
              <w:bottom w:val="single" w:color="CCCCCC" w:sz="1"/>
              <w:right w:val="single" w:color="CCCCCC" w:sz="1"/>
            </w:tcBorders>
            <w:shd w:fill="EDF7F1" w:val="clear"/>
            <w:tcMar>
              <w:top w:type="dxa" w:w="100"/>
              <w:left w:type="dxa" w:w="150"/>
              <w:bottom w:type="dxa" w:w="100"/>
              <w:right w:type="dxa" w:w="150"/>
            </w:tcMar>
            <w:vAlign w:val="top"/>
          </w:tcPr>
          <w:p>
            <w:pPr>
              <w:spacing w:after="50"/>
            </w:pPr>
            <w:r>
              <w:rPr>
                <w:rFonts w:ascii="Arial" w:cs="Arial" w:eastAsia="Arial" w:hAnsi="Arial"/>
                <w:b/>
                <w:bCs/>
                <w:color w:val="1F3864"/>
                <w:sz w:val="20"/>
                <w:szCs w:val="20"/>
              </w:rPr>
              <w:t xml:space="preserve">Monthly Rental — natural fit for CDS:</w:t>
            </w:r>
          </w:p>
          <w:p>
            <w:pPr>
              <w:spacing w:after="30"/>
            </w:pPr>
          </w:p>
          <w:p>
            <w:pPr>
              <w:spacing w:after="50"/>
              <w:ind w:left="360" w:hanging="280"/>
            </w:pPr>
            <w:r>
              <w:rPr>
                <w:rFonts w:ascii="Arial" w:cs="Arial" w:eastAsia="Arial" w:hAnsi="Arial"/>
                <w:color w:val="2E75B6"/>
                <w:sz w:val="20"/>
                <w:szCs w:val="20"/>
              </w:rPr>
              <w:t xml:space="preserve">•  </w:t>
            </w:r>
            <w:r>
              <w:rPr>
                <w:rFonts w:ascii="Arial" w:cs="Arial" w:eastAsia="Arial" w:hAnsi="Arial"/>
                <w:b w:val="false"/>
                <w:bCs w:val="false"/>
                <w:color w:val="222222"/>
                <w:sz w:val="20"/>
                <w:szCs w:val="20"/>
              </w:rPr>
              <w:t xml:space="preserve">$99-$179/mo draws from monthly CDS budget allocation</w:t>
            </w:r>
          </w:p>
          <w:p>
            <w:pPr>
              <w:spacing w:after="50"/>
              <w:ind w:left="360" w:hanging="280"/>
            </w:pPr>
            <w:r>
              <w:rPr>
                <w:rFonts w:ascii="Arial" w:cs="Arial" w:eastAsia="Arial" w:hAnsi="Arial"/>
                <w:color w:val="2E75B6"/>
                <w:sz w:val="20"/>
                <w:szCs w:val="20"/>
              </w:rPr>
              <w:t xml:space="preserve">•  </w:t>
            </w:r>
            <w:r>
              <w:rPr>
                <w:rFonts w:ascii="Arial" w:cs="Arial" w:eastAsia="Arial" w:hAnsi="Arial"/>
                <w:b w:val="false"/>
                <w:bCs w:val="false"/>
                <w:color w:val="222222"/>
                <w:sz w:val="20"/>
                <w:szCs w:val="20"/>
              </w:rPr>
              <w:t xml:space="preserve">No upfront cost — no capital expense from monthly budget</w:t>
            </w:r>
          </w:p>
          <w:p>
            <w:pPr>
              <w:spacing w:after="50"/>
              <w:ind w:left="360" w:hanging="280"/>
            </w:pPr>
            <w:r>
              <w:rPr>
                <w:rFonts w:ascii="Arial" w:cs="Arial" w:eastAsia="Arial" w:hAnsi="Arial"/>
                <w:color w:val="2E75B6"/>
                <w:sz w:val="20"/>
                <w:szCs w:val="20"/>
              </w:rPr>
              <w:t xml:space="preserve">•  </w:t>
            </w:r>
            <w:r>
              <w:rPr>
                <w:rFonts w:ascii="Arial" w:cs="Arial" w:eastAsia="Arial" w:hAnsi="Arial"/>
                <w:b w:val="false"/>
                <w:bCs w:val="false"/>
                <w:color w:val="222222"/>
                <w:sz w:val="20"/>
                <w:szCs w:val="20"/>
              </w:rPr>
              <w:t xml:space="preserve">14-day free trial — family demonstrates value before formal PPL invoice</w:t>
            </w:r>
          </w:p>
          <w:p>
            <w:pPr>
              <w:spacing w:after="50"/>
              <w:ind w:left="360" w:hanging="280"/>
            </w:pPr>
            <w:r>
              <w:rPr>
                <w:rFonts w:ascii="Arial" w:cs="Arial" w:eastAsia="Arial" w:hAnsi="Arial"/>
                <w:color w:val="2E75B6"/>
                <w:sz w:val="20"/>
                <w:szCs w:val="20"/>
              </w:rPr>
              <w:t xml:space="preserve">•  </w:t>
            </w:r>
            <w:r>
              <w:rPr>
                <w:rFonts w:ascii="Arial" w:cs="Arial" w:eastAsia="Arial" w:hAnsi="Arial"/>
                <w:b w:val="false"/>
                <w:bCs w:val="false"/>
                <w:color w:val="222222"/>
                <w:sz w:val="20"/>
                <w:szCs w:val="20"/>
              </w:rPr>
              <w:t xml:space="preserve">Multi-user: 2 users = $109-$189/mo — still within most budgets</w:t>
            </w:r>
          </w:p>
        </w:tc>
        <w:tc>
          <w:tcPr>
            <w:tcW w:type="dxa" w:w="4680"/>
            <w:tcBorders>
              <w:top w:val="single" w:color="CCCCCC" w:sz="1"/>
              <w:left w:val="single" w:color="CCCCCC" w:sz="1"/>
              <w:bottom w:val="single" w:color="CCCCCC" w:sz="1"/>
              <w:right w:val="single" w:color="CCCCCC" w:sz="1"/>
            </w:tcBorders>
            <w:shd w:fill="EBF5FF" w:val="clear"/>
            <w:tcMar>
              <w:top w:type="dxa" w:w="100"/>
              <w:left w:type="dxa" w:w="150"/>
              <w:bottom w:type="dxa" w:w="100"/>
              <w:right w:type="dxa" w:w="150"/>
            </w:tcMar>
            <w:vAlign w:val="top"/>
          </w:tcPr>
          <w:p>
            <w:pPr>
              <w:spacing w:after="50"/>
            </w:pPr>
            <w:r>
              <w:rPr>
                <w:rFonts w:ascii="Arial" w:cs="Arial" w:eastAsia="Arial" w:hAnsi="Arial"/>
                <w:b/>
                <w:bCs/>
                <w:color w:val="2E75B6"/>
                <w:sz w:val="20"/>
                <w:szCs w:val="20"/>
              </w:rPr>
              <w:t xml:space="preserve">Own It — also possible:</w:t>
            </w:r>
          </w:p>
          <w:p>
            <w:pPr>
              <w:spacing w:after="30"/>
            </w:pPr>
          </w:p>
          <w:p>
            <w:pPr>
              <w:spacing w:after="50"/>
              <w:ind w:left="360" w:hanging="280"/>
            </w:pPr>
            <w:r>
              <w:rPr>
                <w:rFonts w:ascii="Arial" w:cs="Arial" w:eastAsia="Arial" w:hAnsi="Arial"/>
                <w:color w:val="2E75B6"/>
                <w:sz w:val="20"/>
                <w:szCs w:val="20"/>
              </w:rPr>
              <w:t xml:space="preserve">•  </w:t>
            </w:r>
            <w:r>
              <w:rPr>
                <w:rFonts w:ascii="Arial" w:cs="Arial" w:eastAsia="Arial" w:hAnsi="Arial"/>
                <w:b w:val="false"/>
                <w:bCs w:val="false"/>
                <w:color w:val="222222"/>
                <w:sz w:val="20"/>
                <w:szCs w:val="20"/>
              </w:rPr>
              <w:t xml:space="preserve">$499-$699 fits under 'assistive technology goods &amp; services'</w:t>
            </w:r>
          </w:p>
          <w:p>
            <w:pPr>
              <w:spacing w:after="50"/>
              <w:ind w:left="360" w:hanging="280"/>
            </w:pPr>
            <w:r>
              <w:rPr>
                <w:rFonts w:ascii="Arial" w:cs="Arial" w:eastAsia="Arial" w:hAnsi="Arial"/>
                <w:color w:val="2E75B6"/>
                <w:sz w:val="20"/>
                <w:szCs w:val="20"/>
              </w:rPr>
              <w:t xml:space="preserve">•  </w:t>
            </w:r>
            <w:r>
              <w:rPr>
                <w:rFonts w:ascii="Arial" w:cs="Arial" w:eastAsia="Arial" w:hAnsi="Arial"/>
                <w:b w:val="false"/>
                <w:bCs w:val="false"/>
                <w:color w:val="222222"/>
                <w:sz w:val="20"/>
                <w:szCs w:val="20"/>
              </w:rPr>
              <w:t xml:space="preserve">PPL can process one-time purchase invoice</w:t>
            </w:r>
          </w:p>
          <w:p>
            <w:pPr>
              <w:spacing w:after="50"/>
              <w:ind w:left="360" w:hanging="280"/>
            </w:pPr>
            <w:r>
              <w:rPr>
                <w:rFonts w:ascii="Arial" w:cs="Arial" w:eastAsia="Arial" w:hAnsi="Arial"/>
                <w:color w:val="2E75B6"/>
                <w:sz w:val="20"/>
                <w:szCs w:val="20"/>
              </w:rPr>
              <w:t xml:space="preserve">•  </w:t>
            </w:r>
            <w:r>
              <w:rPr>
                <w:rFonts w:ascii="Arial" w:cs="Arial" w:eastAsia="Arial" w:hAnsi="Arial"/>
                <w:b w:val="false"/>
                <w:bCs w:val="false"/>
                <w:color w:val="222222"/>
                <w:sz w:val="20"/>
                <w:szCs w:val="20"/>
              </w:rPr>
              <w:t xml:space="preserve">Lower monthly service fee reduces ongoing budget draw</w:t>
            </w:r>
          </w:p>
        </w:tc>
      </w:tr>
    </w:tbl>
    <w:p>
      <w:pPr>
        <w:spacing w:after="12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2E75B6" w:val="clear"/>
            <w:tcMar>
              <w:top w:type="dxa" w:w="110"/>
              <w:left w:type="dxa" w:w="200"/>
              <w:bottom w:type="dxa" w:w="110"/>
              <w:right w:type="dxa" w:w="200"/>
            </w:tcMar>
          </w:tcPr>
          <w:p>
            <w:r>
              <w:rPr>
                <w:rFonts w:ascii="Arial" w:cs="Arial" w:eastAsia="Arial" w:hAnsi="Arial"/>
                <w:b/>
                <w:bCs/>
                <w:color w:val="FFFFFF"/>
                <w:sz w:val="24"/>
                <w:szCs w:val="24"/>
              </w:rPr>
              <w:t xml:space="preserve">5.  WHAT TO SAY</w:t>
            </w:r>
          </w:p>
        </w:tc>
      </w:tr>
    </w:tbl>
    <w:p>
      <w:pPr>
        <w:spacing w:after="80"/>
      </w:pPr>
    </w:p>
    <w:p>
      <w:pPr>
        <w:spacing w:before="130" w:after="55"/>
      </w:pPr>
      <w:r>
        <w:rPr>
          <w:rFonts w:ascii="Arial" w:cs="Arial" w:eastAsia="Arial" w:hAnsi="Arial"/>
          <w:b/>
          <w:bCs/>
          <w:color w:val="2E75B6"/>
          <w:sz w:val="22"/>
          <w:szCs w:val="22"/>
        </w:rPr>
        <w:t xml:space="preserve">When talking to a family enrolled in Virginia CDS:</w:t>
      </w:r>
    </w:p>
    <w:p>
      <w:pPr>
        <w:spacing w:after="60"/>
      </w:pPr>
      <w:r>
        <w:rPr>
          <w:rFonts w:ascii="Arial" w:cs="Arial" w:eastAsia="Arial" w:hAnsi="Arial"/>
          <w:b w:val="false"/>
          <w:bCs w:val="false"/>
          <w:color w:val="555555"/>
          <w:sz w:val="20"/>
          <w:szCs w:val="20"/>
        </w:rPr>
        <w:t xml:space="preserve">“Since you're in Virginia's Consumer Directed Services, your monthly Medicaid budget is yours to manage. Luka handles nighttime reassurance, repetitive questions, and daily reminders — substituting for hours of aide time. At $99-$179/month, far less than even one extra aide shift per week. We invoice PPL directly. 14-day free trial at no cost.”</w:t>
      </w:r>
    </w:p>
    <w:p>
      <w:pPr>
        <w:spacing w:after="40"/>
      </w:pPr>
    </w:p>
    <w:p>
      <w:pPr>
        <w:spacing w:before="130" w:after="55"/>
      </w:pPr>
      <w:r>
        <w:rPr>
          <w:rFonts w:ascii="Arial" w:cs="Arial" w:eastAsia="Arial" w:hAnsi="Arial"/>
          <w:b/>
          <w:bCs/>
          <w:color w:val="2E75B6"/>
          <w:sz w:val="22"/>
          <w:szCs w:val="22"/>
        </w:rPr>
        <w:t xml:space="preserve">When talking to a Virginia DMAS-enrolled case manager:</w:t>
      </w:r>
    </w:p>
    <w:p>
      <w:pPr>
        <w:spacing w:after="60"/>
      </w:pPr>
      <w:r>
        <w:rPr>
          <w:rFonts w:ascii="Arial" w:cs="Arial" w:eastAsia="Arial" w:hAnsi="Arial"/>
          <w:b w:val="false"/>
          <w:bCs w:val="false"/>
          <w:color w:val="555555"/>
          <w:sz w:val="20"/>
          <w:szCs w:val="20"/>
        </w:rPr>
        <w:t xml:space="preserve">“For your participants in Consumer Directed Services, Luka Bear may qualify as an assistive technology purchase within their monthly budget. It addresses nighttime supervision, repetitive questioning, and daily routine support. We are registered with PPL. Would you be open to discussing a pilot case?”</w:t>
      </w:r>
    </w:p>
    <w:p>
      <w:pPr>
        <w:spacing w:after="40"/>
      </w:pPr>
    </w:p>
    <w:p>
      <w:pPr>
        <w:spacing w:before="130" w:after="55"/>
      </w:pPr>
      <w:r>
        <w:rPr>
          <w:rFonts w:ascii="Arial" w:cs="Arial" w:eastAsia="Arial" w:hAnsi="Arial"/>
          <w:b/>
          <w:bCs/>
          <w:color w:val="2E75B6"/>
          <w:sz w:val="22"/>
          <w:szCs w:val="22"/>
        </w:rPr>
        <w:t xml:space="preserve">When talking to a PPL coordinator:</w:t>
      </w:r>
    </w:p>
    <w:p>
      <w:pPr>
        <w:spacing w:after="60"/>
      </w:pPr>
      <w:r>
        <w:rPr>
          <w:rFonts w:ascii="Arial" w:cs="Arial" w:eastAsia="Arial" w:hAnsi="Arial"/>
          <w:b w:val="false"/>
          <w:bCs w:val="false"/>
          <w:color w:val="555555"/>
          <w:sz w:val="20"/>
          <w:szCs w:val="20"/>
        </w:rPr>
        <w:t xml:space="preserve">“We're confirming vendor registration in the PPL system for Eldercare Robotics LLC — Luka Bear assistive companion for CDS participants in Virginia. Can you confirm our registration status or direct us to the enrollment process?”</w:t>
      </w:r>
    </w:p>
    <w:p>
      <w:pPr>
        <w:spacing w:after="40"/>
      </w:pPr>
    </w:p>
    <w:p>
      <w:pPr>
        <w:spacing w:before="130" w:after="55"/>
      </w:pPr>
      <w:r>
        <w:rPr>
          <w:rFonts w:ascii="Arial" w:cs="Arial" w:eastAsia="Arial" w:hAnsi="Arial"/>
          <w:b/>
          <w:bCs/>
          <w:color w:val="2E75B6"/>
          <w:sz w:val="22"/>
          <w:szCs w:val="22"/>
        </w:rPr>
        <w:t xml:space="preserve">When talking to a family considering CDS enrollment:</w:t>
      </w:r>
    </w:p>
    <w:p>
      <w:pPr>
        <w:spacing w:after="60"/>
      </w:pPr>
      <w:r>
        <w:rPr>
          <w:rFonts w:ascii="Arial" w:cs="Arial" w:eastAsia="Arial" w:hAnsi="Arial"/>
          <w:b w:val="false"/>
          <w:bCs w:val="false"/>
          <w:color w:val="555555"/>
          <w:sz w:val="20"/>
          <w:szCs w:val="20"/>
        </w:rPr>
        <w:t xml:space="preserve">“Virginia's Consumer Directed Services lets you control a monthly Medicaid budget for care. Once enrolled, you can use that budget for Luka at $99-$179/month — replacing hours of aide time. Enrollment takes 4–8 weeks. I can connect you with the right DMAS contact.”</w:t>
      </w:r>
    </w:p>
    <w:p>
      <w:pPr>
        <w:spacing w:after="40"/>
      </w:pPr>
    </w:p>
    <w:p>
      <w:pPr>
        <w:spacing w:after="12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1F3864" w:val="clear"/>
            <w:tcMar>
              <w:top w:type="dxa" w:w="110"/>
              <w:left w:type="dxa" w:w="200"/>
              <w:bottom w:type="dxa" w:w="110"/>
              <w:right w:type="dxa" w:w="200"/>
            </w:tcMar>
          </w:tcPr>
          <w:p>
            <w:r>
              <w:rPr>
                <w:rFonts w:ascii="Arial" w:cs="Arial" w:eastAsia="Arial" w:hAnsi="Arial"/>
                <w:b/>
                <w:bCs/>
                <w:color w:val="FFFFFF"/>
                <w:sz w:val="24"/>
                <w:szCs w:val="24"/>
              </w:rPr>
              <w:t xml:space="preserve">6.  PILOT EVIDENCE</w:t>
            </w:r>
          </w:p>
        </w:tc>
      </w:tr>
    </w:tbl>
    <w:p>
      <w:pPr>
        <w:spacing w:after="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3780"/>
        <w:gridCol w:w="3780"/>
      </w:tblGrid>
      <w:tr>
        <w:tc>
          <w:tcPr>
            <w:tcW w:type="dxa" w:w="1800"/>
            <w:tcBorders>
              <w:top w:val="single" w:color="CCCCCC" w:sz="1"/>
              <w:left w:val="single" w:color="CCCCCC" w:sz="1"/>
              <w:bottom w:val="single" w:color="CCCCCC" w:sz="1"/>
              <w:right w:val="single" w:color="CCCCCC" w:sz="1"/>
            </w:tcBorders>
            <w:shd w:fill="1F3864" w:val="clear"/>
            <w:tcMar>
              <w:top w:type="dxa" w:w="100"/>
              <w:left w:type="dxa" w:w="150"/>
              <w:bottom w:type="dxa" w:w="100"/>
              <w:right w:type="dxa" w:w="150"/>
            </w:tcMar>
          </w:tcPr>
          <w:p>
            <w:r>
              <w:rPr>
                <w:rFonts w:ascii="Arial" w:cs="Arial" w:eastAsia="Arial" w:hAnsi="Arial"/>
                <w:b/>
                <w:bCs/>
                <w:color w:val="FFFFFF"/>
                <w:sz w:val="18"/>
                <w:szCs w:val="18"/>
              </w:rPr>
              <w:t xml:space="preserve">Pilot setting</w:t>
            </w:r>
          </w:p>
        </w:tc>
        <w:tc>
          <w:tcPr>
            <w:tcW w:type="dxa" w:w="3780"/>
            <w:tcBorders>
              <w:top w:val="single" w:color="CCCCCC" w:sz="1"/>
              <w:left w:val="single" w:color="CCCCCC" w:sz="1"/>
              <w:bottom w:val="single" w:color="CCCCCC" w:sz="1"/>
              <w:right w:val="single" w:color="CCCCCC" w:sz="1"/>
            </w:tcBorders>
            <w:shd w:fill="1F3864" w:val="clear"/>
            <w:tcMar>
              <w:top w:type="dxa" w:w="100"/>
              <w:left w:type="dxa" w:w="150"/>
              <w:bottom w:type="dxa" w:w="100"/>
              <w:right w:type="dxa" w:w="150"/>
            </w:tcMar>
          </w:tcPr>
          <w:p>
            <w:r>
              <w:rPr>
                <w:rFonts w:ascii="Arial" w:cs="Arial" w:eastAsia="Arial" w:hAnsi="Arial"/>
                <w:b/>
                <w:bCs/>
                <w:color w:val="FFFFFF"/>
                <w:sz w:val="18"/>
                <w:szCs w:val="18"/>
              </w:rPr>
              <w:t xml:space="preserve">Observation</w:t>
            </w:r>
          </w:p>
        </w:tc>
        <w:tc>
          <w:tcPr>
            <w:tcW w:type="dxa" w:w="3780"/>
            <w:tcBorders>
              <w:top w:val="single" w:color="CCCCCC" w:sz="1"/>
              <w:left w:val="single" w:color="CCCCCC" w:sz="1"/>
              <w:bottom w:val="single" w:color="CCCCCC" w:sz="1"/>
              <w:right w:val="single" w:color="CCCCCC" w:sz="1"/>
            </w:tcBorders>
            <w:shd w:fill="1F3864" w:val="clear"/>
            <w:tcMar>
              <w:top w:type="dxa" w:w="100"/>
              <w:left w:type="dxa" w:w="150"/>
              <w:bottom w:type="dxa" w:w="100"/>
              <w:right w:type="dxa" w:w="150"/>
            </w:tcMar>
          </w:tcPr>
          <w:p>
            <w:r>
              <w:rPr>
                <w:rFonts w:ascii="Arial" w:cs="Arial" w:eastAsia="Arial" w:hAnsi="Arial"/>
                <w:b/>
                <w:bCs/>
                <w:color w:val="FFFFFF"/>
                <w:sz w:val="18"/>
                <w:szCs w:val="18"/>
              </w:rPr>
              <w:t xml:space="preserve">Why it matters</w:t>
            </w:r>
          </w:p>
        </w:tc>
      </w:tr>
      <w:tr>
        <w:tc>
          <w:tcPr>
            <w:tcW w:type="dxa" w:w="1800"/>
            <w:tcBorders>
              <w:top w:val="single" w:color="CCCCCC" w:sz="1"/>
              <w:left w:val="single" w:color="CCCCCC" w:sz="1"/>
              <w:bottom w:val="single" w:color="CCCCCC" w:sz="1"/>
              <w:right w:val="single" w:color="CCCCCC" w:sz="1"/>
            </w:tcBorders>
            <w:shd w:fill="F2F2F2" w:val="clear"/>
            <w:tcMar>
              <w:top w:type="dxa" w:w="100"/>
              <w:left w:type="dxa" w:w="150"/>
              <w:bottom w:type="dxa" w:w="100"/>
              <w:right w:type="dxa" w:w="150"/>
            </w:tcMar>
          </w:tcPr>
          <w:p>
            <w:r>
              <w:rPr>
                <w:rFonts w:ascii="Arial" w:cs="Arial" w:eastAsia="Arial" w:hAnsi="Arial"/>
                <w:b/>
                <w:bCs/>
                <w:color w:val="222222"/>
                <w:sz w:val="17"/>
                <w:szCs w:val="17"/>
              </w:rPr>
              <w:t xml:space="preserve">MD home pilot — 15 months</w:t>
            </w:r>
          </w:p>
        </w:tc>
        <w:tc>
          <w:tcPr>
            <w:tcW w:type="dxa" w:w="378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r>
              <w:rPr>
                <w:rFonts w:ascii="Arial" w:cs="Arial" w:eastAsia="Arial" w:hAnsi="Arial"/>
                <w:b w:val="false"/>
                <w:bCs w:val="false"/>
                <w:color w:val="222222"/>
                <w:sz w:val="17"/>
                <w:szCs w:val="17"/>
              </w:rPr>
              <w:t xml:space="preserve">Caregiver sleeping longer on nights Luka handled reassurance</w:t>
            </w:r>
          </w:p>
        </w:tc>
        <w:tc>
          <w:tcPr>
            <w:tcW w:type="dxa" w:w="378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r>
              <w:rPr>
                <w:rFonts w:ascii="Arial" w:cs="Arial" w:eastAsia="Arial" w:hAnsi="Arial"/>
                <w:b w:val="false"/>
                <w:bCs w:val="false"/>
                <w:color w:val="222222"/>
                <w:sz w:val="17"/>
                <w:szCs w:val="17"/>
              </w:rPr>
              <w:t xml:space="preserve">Night supervision substitution — core aide hour replacement argument</w:t>
            </w:r>
          </w:p>
        </w:tc>
      </w:tr>
      <w:tr>
        <w:tc>
          <w:tcPr>
            <w:tcW w:type="dxa" w:w="1800"/>
            <w:tcBorders>
              <w:top w:val="single" w:color="CCCCCC" w:sz="1"/>
              <w:left w:val="single" w:color="CCCCCC" w:sz="1"/>
              <w:bottom w:val="single" w:color="CCCCCC" w:sz="1"/>
              <w:right w:val="single" w:color="CCCCCC" w:sz="1"/>
            </w:tcBorders>
            <w:shd w:fill="F2F2F2" w:val="clear"/>
            <w:tcMar>
              <w:top w:type="dxa" w:w="100"/>
              <w:left w:type="dxa" w:w="150"/>
              <w:bottom w:type="dxa" w:w="100"/>
              <w:right w:type="dxa" w:w="150"/>
            </w:tcMar>
          </w:tcPr>
          <w:p>
            <w:r>
              <w:rPr>
                <w:rFonts w:ascii="Arial" w:cs="Arial" w:eastAsia="Arial" w:hAnsi="Arial"/>
                <w:b/>
                <w:bCs/>
                <w:color w:val="222222"/>
                <w:sz w:val="17"/>
                <w:szCs w:val="17"/>
              </w:rPr>
              <w:t xml:space="preserve">MD home pilot</w:t>
            </w:r>
          </w:p>
        </w:tc>
        <w:tc>
          <w:tcPr>
            <w:tcW w:type="dxa" w:w="378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r>
              <w:rPr>
                <w:rFonts w:ascii="Arial" w:cs="Arial" w:eastAsia="Arial" w:hAnsi="Arial"/>
                <w:b w:val="false"/>
                <w:bCs w:val="false"/>
                <w:color w:val="222222"/>
                <w:sz w:val="17"/>
                <w:szCs w:val="17"/>
              </w:rPr>
              <w:t xml:space="preserve">Fewer repeated evening questions established</w:t>
            </w:r>
          </w:p>
        </w:tc>
        <w:tc>
          <w:tcPr>
            <w:tcW w:type="dxa" w:w="378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r>
              <w:rPr>
                <w:rFonts w:ascii="Arial" w:cs="Arial" w:eastAsia="Arial" w:hAnsi="Arial"/>
                <w:b w:val="false"/>
                <w:bCs w:val="false"/>
                <w:color w:val="222222"/>
                <w:sz w:val="17"/>
                <w:szCs w:val="17"/>
              </w:rPr>
              <w:t xml:space="preserve">Repetitive question burden — directly substitutes aide supervision time</w:t>
            </w:r>
          </w:p>
        </w:tc>
      </w:tr>
      <w:tr>
        <w:tc>
          <w:tcPr>
            <w:tcW w:type="dxa" w:w="1800"/>
            <w:tcBorders>
              <w:top w:val="single" w:color="CCCCCC" w:sz="1"/>
              <w:left w:val="single" w:color="CCCCCC" w:sz="1"/>
              <w:bottom w:val="single" w:color="CCCCCC" w:sz="1"/>
              <w:right w:val="single" w:color="CCCCCC" w:sz="1"/>
            </w:tcBorders>
            <w:shd w:fill="F2F2F2" w:val="clear"/>
            <w:tcMar>
              <w:top w:type="dxa" w:w="100"/>
              <w:left w:type="dxa" w:w="150"/>
              <w:bottom w:type="dxa" w:w="100"/>
              <w:right w:type="dxa" w:w="150"/>
            </w:tcMar>
          </w:tcPr>
          <w:p>
            <w:r>
              <w:rPr>
                <w:rFonts w:ascii="Arial" w:cs="Arial" w:eastAsia="Arial" w:hAnsi="Arial"/>
                <w:b/>
                <w:bCs/>
                <w:color w:val="222222"/>
                <w:sz w:val="17"/>
                <w:szCs w:val="17"/>
              </w:rPr>
              <w:t xml:space="preserve">PA facility — 8 residents</w:t>
            </w:r>
          </w:p>
        </w:tc>
        <w:tc>
          <w:tcPr>
            <w:tcW w:type="dxa" w:w="378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r>
              <w:rPr>
                <w:rFonts w:ascii="Arial" w:cs="Arial" w:eastAsia="Arial" w:hAnsi="Arial"/>
                <w:b w:val="false"/>
                <w:bCs w:val="false"/>
                <w:color w:val="222222"/>
                <w:sz w:val="17"/>
                <w:szCs w:val="17"/>
              </w:rPr>
              <w:t xml:space="preserve">Fewer redirection demands 11 PM–3 AM</w:t>
            </w:r>
          </w:p>
        </w:tc>
        <w:tc>
          <w:tcPr>
            <w:tcW w:type="dxa" w:w="378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r>
              <w:rPr>
                <w:rFonts w:ascii="Arial" w:cs="Arial" w:eastAsia="Arial" w:hAnsi="Arial"/>
                <w:b w:val="false"/>
                <w:bCs w:val="false"/>
                <w:color w:val="222222"/>
                <w:sz w:val="17"/>
                <w:szCs w:val="17"/>
              </w:rPr>
              <w:t xml:space="preserve">Multi-user nighttime supervision — strong cost per resident argument</w:t>
            </w:r>
          </w:p>
        </w:tc>
      </w:tr>
    </w:tbl>
    <w:p>
      <w:pPr>
        <w:spacing w:after="12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1F3864" w:val="clear"/>
            <w:tcMar>
              <w:top w:type="dxa" w:w="110"/>
              <w:left w:type="dxa" w:w="200"/>
              <w:bottom w:type="dxa" w:w="110"/>
              <w:right w:type="dxa" w:w="200"/>
            </w:tcMar>
          </w:tcPr>
          <w:p>
            <w:r>
              <w:rPr>
                <w:rFonts w:ascii="Arial" w:cs="Arial" w:eastAsia="Arial" w:hAnsi="Arial"/>
                <w:b/>
                <w:bCs/>
                <w:color w:val="FFFFFF"/>
                <w:sz w:val="24"/>
                <w:szCs w:val="24"/>
              </w:rPr>
              <w:t xml:space="preserve">7.  WHAT NOT TO DO</w:t>
            </w:r>
          </w:p>
        </w:tc>
      </w:tr>
    </w:tbl>
    <w:p>
      <w:pPr>
        <w:spacing w:after="80"/>
      </w:pPr>
    </w:p>
    <w:p>
      <w:pPr>
        <w:spacing w:after="50"/>
        <w:ind w:left="360" w:hanging="280"/>
      </w:pPr>
      <w:r>
        <w:rPr>
          <w:rFonts w:ascii="Arial" w:cs="Arial" w:eastAsia="Arial" w:hAnsi="Arial"/>
          <w:color w:val="2E75B6"/>
          <w:sz w:val="20"/>
          <w:szCs w:val="20"/>
        </w:rPr>
        <w:t xml:space="preserve">•  </w:t>
      </w:r>
      <w:r>
        <w:rPr>
          <w:rFonts w:ascii="Arial" w:cs="Arial" w:eastAsia="Arial" w:hAnsi="Arial"/>
          <w:b w:val="false"/>
          <w:bCs w:val="false"/>
          <w:color w:val="222222"/>
          <w:sz w:val="20"/>
          <w:szCs w:val="20"/>
        </w:rPr>
        <w:t xml:space="preserve">Do not approach Virginia DMAS directly — purchase decision belongs to the family, not the state</w:t>
      </w:r>
    </w:p>
    <w:p>
      <w:pPr>
        <w:spacing w:after="50"/>
        <w:ind w:left="360" w:hanging="280"/>
      </w:pPr>
      <w:r>
        <w:rPr>
          <w:rFonts w:ascii="Arial" w:cs="Arial" w:eastAsia="Arial" w:hAnsi="Arial"/>
          <w:color w:val="2E75B6"/>
          <w:sz w:val="20"/>
          <w:szCs w:val="20"/>
        </w:rPr>
        <w:t xml:space="preserve">•  </w:t>
      </w:r>
      <w:r>
        <w:rPr>
          <w:rFonts w:ascii="Arial" w:cs="Arial" w:eastAsia="Arial" w:hAnsi="Arial"/>
          <w:b w:val="false"/>
          <w:bCs w:val="false"/>
          <w:color w:val="222222"/>
          <w:sz w:val="20"/>
          <w:szCs w:val="20"/>
        </w:rPr>
        <w:t xml:space="preserve">Do not wait for case manager approval before talking to the family — the family is the CDS decision-maker</w:t>
      </w:r>
    </w:p>
    <w:p>
      <w:pPr>
        <w:spacing w:after="50"/>
        <w:ind w:left="360" w:hanging="280"/>
      </w:pPr>
      <w:r>
        <w:rPr>
          <w:rFonts w:ascii="Arial" w:cs="Arial" w:eastAsia="Arial" w:hAnsi="Arial"/>
          <w:color w:val="2E75B6"/>
          <w:sz w:val="20"/>
          <w:szCs w:val="20"/>
        </w:rPr>
        <w:t xml:space="preserve">•  </w:t>
      </w:r>
      <w:r>
        <w:rPr>
          <w:rFonts w:ascii="Arial" w:cs="Arial" w:eastAsia="Arial" w:hAnsi="Arial"/>
          <w:b w:val="false"/>
          <w:bCs w:val="false"/>
          <w:color w:val="222222"/>
          <w:sz w:val="20"/>
          <w:szCs w:val="20"/>
        </w:rPr>
        <w:t xml:space="preserve">Do not invoice the family — invoice PPL directly once vendor registration is complete</w:t>
      </w:r>
    </w:p>
    <w:p>
      <w:pPr>
        <w:spacing w:after="50"/>
        <w:ind w:left="360" w:hanging="280"/>
      </w:pPr>
      <w:r>
        <w:rPr>
          <w:rFonts w:ascii="Arial" w:cs="Arial" w:eastAsia="Arial" w:hAnsi="Arial"/>
          <w:color w:val="2E75B6"/>
          <w:sz w:val="20"/>
          <w:szCs w:val="20"/>
        </w:rPr>
        <w:t xml:space="preserve">•  </w:t>
      </w:r>
      <w:r>
        <w:rPr>
          <w:rFonts w:ascii="Arial" w:cs="Arial" w:eastAsia="Arial" w:hAnsi="Arial"/>
          <w:b w:val="false"/>
          <w:bCs w:val="false"/>
          <w:color w:val="222222"/>
          <w:sz w:val="20"/>
          <w:szCs w:val="20"/>
        </w:rPr>
        <w:t xml:space="preserve">Do not miss PPL vendor registration — without it, PPL cannot process payment regardless of family approval</w:t>
      </w:r>
    </w:p>
    <w:p>
      <w:pPr>
        <w:spacing w:after="50"/>
        <w:ind w:left="360" w:hanging="280"/>
      </w:pPr>
      <w:r>
        <w:rPr>
          <w:rFonts w:ascii="Arial" w:cs="Arial" w:eastAsia="Arial" w:hAnsi="Arial"/>
          <w:color w:val="2E75B6"/>
          <w:sz w:val="20"/>
          <w:szCs w:val="20"/>
        </w:rPr>
        <w:t xml:space="preserve">•  </w:t>
      </w:r>
      <w:r>
        <w:rPr>
          <w:rFonts w:ascii="Arial" w:cs="Arial" w:eastAsia="Arial" w:hAnsi="Arial"/>
          <w:b w:val="false"/>
          <w:bCs w:val="false"/>
          <w:color w:val="222222"/>
          <w:sz w:val="20"/>
          <w:szCs w:val="20"/>
        </w:rPr>
        <w:t xml:space="preserve">Do not use 'companion' language — use 'supervision substitute' and 'care support tool'</w:t>
      </w:r>
    </w:p>
    <w:p>
      <w:pPr>
        <w:spacing w:after="12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1F3864" w:val="clear"/>
            <w:tcMar>
              <w:top w:type="dxa" w:w="50"/>
              <w:bottom w:type="dxa" w:w="50"/>
            </w:tcMar>
          </w:tcPr>
          <w:p>
            <w:r>
              <w:t xml:space="preserve"> </w:t>
            </w:r>
          </w:p>
        </w:tc>
      </w:tr>
    </w:tbl>
    <w:p>
      <w:pPr>
        <w:spacing w:after="60"/>
      </w:pPr>
    </w:p>
    <w:p>
      <w:pPr>
        <w:spacing w:after="40"/>
        <w:jc w:val="center"/>
      </w:pPr>
      <w:r>
        <w:rPr>
          <w:rFonts w:ascii="Arial" w:cs="Arial" w:eastAsia="Arial" w:hAnsi="Arial"/>
          <w:b/>
          <w:bCs/>
          <w:color w:val="1F3864"/>
          <w:sz w:val="26"/>
          <w:szCs w:val="26"/>
        </w:rPr>
        <w:t xml:space="preserve">The family controls the budget. Talk to the family.</w:t>
      </w:r>
    </w:p>
    <w:p>
      <w:pPr>
        <w:spacing w:after="80"/>
        <w:jc w:val="center"/>
      </w:pPr>
      <w:r>
        <w:rPr>
          <w:rFonts w:ascii="Arial" w:cs="Arial" w:eastAsia="Arial" w:hAnsi="Arial"/>
          <w:color w:val="555555"/>
          <w:sz w:val="20"/>
          <w:szCs w:val="20"/>
        </w:rPr>
        <w:t xml:space="preserve">Virginia CDS = fastest Medicaid revenue in the Mid-Atlantic.</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1F3864" w:val="clear"/>
            <w:tcMar>
              <w:top w:type="dxa" w:w="50"/>
              <w:bottom w:type="dxa" w:w="50"/>
            </w:tcMar>
          </w:tcPr>
          <w:p>
            <w:r>
              <w:t xml:space="preserve"> </w:t>
            </w:r>
          </w:p>
        </w:tc>
      </w:tr>
    </w:tbl>
    <w:sectPr>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2026-04-04T12:33:55.607Z</dcterms:created>
  <dcterms:modified xsi:type="dcterms:W3CDTF">2026-04-04T12:33:55.607Z</dcterms:modified>
</cp:coreProperties>
</file>

<file path=docProps/custom.xml><?xml version="1.0" encoding="utf-8"?>
<Properties xmlns="http://schemas.openxmlformats.org/officeDocument/2006/custom-properties" xmlns:vt="http://schemas.openxmlformats.org/officeDocument/2006/docPropsVTypes"/>
</file>