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30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Luka Bear™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2E75B6"/>
          <w:sz w:val="34"/>
          <w:szCs w:val="34"/>
        </w:rPr>
        <w:t xml:space="preserve">VA Outreach Brief</w:t>
      </w:r>
    </w:p>
    <w:p>
      <w:pPr>
        <w:spacing w:after="2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How to reach veterans and their families — pathways, pricing, precedents, and talking points</w:t>
      </w:r>
    </w:p>
    <w:p>
      <w:pPr>
        <w:spacing w:after="1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Eldercare Robotics LLC  ·  Confidential  ·  April 2026  ·  Updated with Own It 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 THE ONE THING TO KNOW BEFORE REACHING OUT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C00000"/>
          <w:sz w:val="20"/>
          <w:szCs w:val="20"/>
        </w:rPr>
        <w:t xml:space="preserve">The VA will not pay for Luka as a device. That is not the strategy.</w:t>
      </w:r>
    </w:p>
    <w:p>
      <w:pPr>
        <w:spacing w:after="4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The strategy is this: 57,000 PCAFC caregivers already receive a monthly VA stipend with no restriction on how it is spent. They can subscribe to Luka today — no approval, no form, no denial. That is your entry point.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57,000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PCAFC caregivers with monthly VA stipend — can start today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5.66M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veterans receiving SC compensation — personal funds available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30A0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9.1M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enrolled in VA health care — eligible for PCAFC review</w:t>
            </w:r>
          </w:p>
        </w:tc>
      </w:tr>
    </w:tbl>
    <w:p>
      <w:pPr>
        <w:spacing w:after="8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65911"/>
          <w:sz w:val="18"/>
          <w:szCs w:val="18"/>
        </w:rPr>
        <w:t xml:space="preserve">⚠️  The PCAFC stipend is the fastest, easiest VA revenue path. Lead every veteran conversation with this — not with VA approval requests.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 TWO WAYS TO GET LUKA — BOTH WORK FOR VETERANS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Understanding both pricing options helps you match the right path to each veteran or caregiver situation.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900"/>
        <w:gridCol w:w="1700"/>
        <w:gridCol w:w="1800"/>
        <w:gridCol w:w="2160"/>
        <w:gridCol w:w="12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Model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Screen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Monthly Rental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Own It — Device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Own It — Monthly Service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Max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Luka Compact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7"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$99/mo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$499 (one-time)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$59/mo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Luka Standard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10"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$129/mo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$599 (one-time)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$79/mo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10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Luka Pro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13"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$179/mo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$699 (one-time)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$99/mo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25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Additional users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—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+ $10/mo each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—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+ $10/mo each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E7145"/>
                <w:sz w:val="20"/>
                <w:szCs w:val="20"/>
              </w:rPr>
              <w:t xml:space="preserve">Monthly Rental — best for: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PCAFC caregiver using monthly stipend — fits ongoing expense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Veterans using regular monthly VA compensation check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Families wanting no upfront cost and flexibility to cancel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14-day free trial with no credit card required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Own It — best for: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Aid &amp; Attendance pension — one-time purchase from stipend funds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HSA/FSA spending — one-time device purchase may qualify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Veteran-Directed Care budget — equipment purchase fits care plan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Families who prefer to own and pay lower ongoing service fee</w:t>
            </w:r>
          </w:p>
        </w:tc>
      </w:tr>
    </w:tbl>
    <w:p>
      <w:pPr>
        <w:spacing w:after="6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2E75B6"/>
          <w:sz w:val="18"/>
          <w:szCs w:val="18"/>
        </w:rPr>
        <w:t xml:space="preserve">⚠️  For Aid &amp; Attendance recipients: Own It Compact ($499 + $59/mo) means the device purchase fits within a single month's A&amp;A supplement. Cleaner than an ongoing subscription for budget-constrained families.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 THE 4 REALISTIC VA PATHWAYS — RANKED BY EASE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Only pursue pathways where Luka can realistically be funded. The VA will not procure Luka through Prosthetics or Community Care — do not attempt those routes.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1 — PCAFC Caregiver Stipend  (Easiest — No VA Approval Needed)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Who: Veterans with SC ≥70% with a serious injury whose caregiver is enrolled in PCAFC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What: Caregiver receives a VA cash stipend ($600-$2,400+/month) — unrestricted spending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Pricing fit: Monthly Rental ($99-$179/mo) — ongoing subscription fits ongoing stipend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How to start: Caregiver visits eldercarerobotics.net, starts 14-day free trial, no credit card needed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Portal documentation: Caregiver burden (ZBI), respite hours, functional status — all collected at portal.lukabear.org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Evidence: portal.lukabear.org/evidence-dashboard — live outcomes dashboard, shareable with VA contacts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Active pilots: 15 months longest home case, MD + PA active — reference in every conversation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2 — Personal VA Disability Compensation  (Easy — Veteran Uses Own Funds)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Who: Any of the 5.66M veterans receiving SC compensation — especially 100% (1.29M) and 70-90% (1.09M)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Pricing fit: Either Monthly Rental OR Own It — veteran chooses based on preference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Best candidates: Veterans with cognitive decline, PTSD, dementia, TBI — conditions Luka directly addresses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Talking point: 'Your VA compensation is yours to spend. 14-day free trial, no credit card. Two ways to get Luka — monthly rental or buy it outright.'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Active pilot signal: Maryland home pilot — caregiver sleeping longer on nights when Luka handled initial reassurance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591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3 — Aid &amp; Attendance Pension  (Moderate — Older / Homebound Veterans)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Who: Veterans receiving VA pension with Aid &amp; Attendance or Housebound designation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What: A&amp;A adds $700-$1,800/month on top of standard pension for daily living assistance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Pricing fit: Own It is ideal — $499 Compact device purchase from one month's A&amp;A supplement, then $59/mo service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Documentation: Physician Letter of Medical Necessity — template at portal.lukabear.org/documentation-library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Talking point: 'If your loved one receives Aid &amp; Attendance, a one-time device purchase of $499 puts Luka in the home permanently. Then $59/month covers all the AI features and monitoring.'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Referral channel: Elder law attorneys and VSO service officers — offer 15% recurring partner revenue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7030A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4 — Veteran-Directed Care (VDC)  (Difficult but Worth Exploring)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0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7030A0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Who: Homebound veterans enrolled in VA Home-Based Primary Care with a self-directed care budget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7030A0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Pricing fit: Own It — a one-time device purchase fits 'equipment' line in a care budget more cleanly than a subscription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7030A0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What is needed: VA PCP or social worker includes Luka in the care plan — use Salisbury VA precedent (see Section 4)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7030A0"/>
                <w:sz w:val="19"/>
                <w:szCs w:val="19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9"/>
                <w:szCs w:val="19"/>
              </w:rPr>
              <w:t xml:space="preserve">Realistic assessment: Difficult and rare — but Own It framing as 'assistive technology equipment' is stronger than rental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7145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 VA PRECEDENTS — USE THESE IN EVERY CONVERSATION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880"/>
        <w:gridCol w:w="34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Precedent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happened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Why it matters for Luka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Salisbury VA CLC — Robotic Pets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VA Community Living Center in NC introduced robotic cats and dogs for veterans with dementia, funded by VA COVID relief and Whole Health funds.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Proves VA has already funded social robots in care settings. Use when a VA social worker says 'we've never done this.'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Paro Therapeutic Seal — VA Research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2016 VA study found the robotic seal Paro helped manage mood in veterans with dementia across multiple VA long-term care facilities.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Clinical precedent for robotic companions in veteran dementia care. Reference in LMN templates.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VA SimLEARN Robotics Expo — 2024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VA held an Autonomous Caregivers Robotic Demonstrations event in Orlando. VA staff and veterans experienced care robots firsthand.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VA is actively exploring this space institutionally. Positions Luka as part of the VA innovation conversation.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Joy For All Robots — VA CLCs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Multiple VA Community Living Centers received donated robotic companions for veterans with dementia, documented in VA communications.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Directly parallel to Luka's use case. If a facility accepted Joy For All, they can accept Luka.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 WHAT TO SAY — TALKING POINTS BY AUDIENCE</w:t>
            </w:r>
          </w:p>
        </w:tc>
      </w:tr>
    </w:tbl>
    <w:p>
      <w:pPr>
        <w:spacing w:after="8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PCAFC caregiver: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'Your VA caregiver stipend is yours to use as you need. Luka handles nighttime confusion, repetitive questions, and daily reminders so you get actual rest. $99-$179/month on monthly rental, or buy it outright from $499 with a lower monthly service fee. 14-day free trial, no credit card needed.'</w:t>
      </w:r>
    </w:p>
    <w:p>
      <w:pPr>
        <w:spacing w:after="6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veteran's family (personal funds):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'Luka knows your loved one's life story, answers the same question fifty times with the same patience, and stays alert at night. Many families use their VA compensation or Aid &amp; Attendance funds. The Own It option is $499 for the device, then $59/month — after one year you've spent far less than with individual device competitors.'</w:t>
      </w:r>
    </w:p>
    <w:p>
      <w:pPr>
        <w:spacing w:after="6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VA social worker or HBPC coordinator: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'The VA has already funded social robots in care settings — the Salisbury VA CLC introduced robotic companions for veterans with dementia and saw reduced agitation. We have active pilots running 15 months in Maryland and with 8 residents at a PA facility. Here is our live outcomes dashboard: portal.lukabear.org/evidence-dashboard.'</w:t>
      </w:r>
    </w:p>
    <w:p>
      <w:pPr>
        <w:spacing w:after="6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VSO service officer: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'We're building a referral network for VSOs who help veterans access Aid &amp; Attendance and PCAFC. A one-time device purchase of $499 fits cleanly within a month's A&amp;A supplement. We offer 15% recurring revenue through our partner program at eldercarerobotics.net/partner-program.'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6.  PILOT EVIDENCE — REFERENCE THESE IN OUTREACH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All observations are from the live portal dashboard at portal.lukabear.org/evidence-dashboard. Anonymized, continuously updated.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880"/>
        <w:gridCol w:w="34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Pilot setting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Observation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Relevance to VA contacts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MD home pilot — 15 months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Caregiver reported sleeping longer on nights when Luka handled initial nighttime reassurance.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Direct answer to VA's concern about caregiver burden and nighttime supervision cost.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MD home pilot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Fewer repeated evening questions after personalized conversation patterns were established.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Addresses repetitive question burden — a core PTSD and dementia symptom.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PA facility pilot — 8 residents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Fewer redirection demands between 11 PM and 3 AM during active Luka overnight support periods.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Exactly parallels the Salisbury VA precedent. Night staffing cost reduction.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PA home pilot — 5 months</w:t>
            </w:r>
          </w:p>
        </w:tc>
        <w:tc>
          <w:tcPr>
            <w:tcW w:type="dxa" w:w="3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Calming routines increased resident willingness to engage during difficult periods.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Emotional support feature effectiveness — relevant for PTSD and anxiety cases.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7.  DOCUMENTATION — WHERE TO FIND IT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3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Document needed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Where to find it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When to use it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Letter of Medical Necessity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portal.lukabear.org/documentation-library → HSA/FSA section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Aid &amp; Attendance, HSA/FSA, and any VA clinician justification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Caregiver burden evidence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portal.lukabear.org/evidence-dashboard — live public dashboard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VA social workers, PCAFC coordinators, VDC case managers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Cost comparison reference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portal.lukabear.org/documentation-library → Cost Comparison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VDC and HBPC staff — show value vs. aide hours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Pricing details — both plans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eldercarerobotics.net/pricing-plans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Any conversation about how families actually pay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8"/>
                <w:szCs w:val="18"/>
              </w:rPr>
              <w:t xml:space="preserve">Partner program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eldercarerobotics.net/partner-program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8"/>
                <w:szCs w:val="18"/>
              </w:rPr>
              <w:t xml:space="preserve">VSO officers, elder law attorneys — 15% recurring referral revenue</w:t>
            </w:r>
          </w:p>
        </w:tc>
      </w:tr>
    </w:tbl>
    <w:p>
      <w:pPr>
        <w:spacing w:after="8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00000"/>
          <w:sz w:val="18"/>
          <w:szCs w:val="18"/>
        </w:rPr>
        <w:t xml:space="preserve">⚠️  Enroll all current MD and PA pilot caregivers in weekly portal check-ins now. The dashboard is live and shareable. VA contacts can see it directly. Empty KPI fields weaken every conversation.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8.  WHAT NOT TO DO</w:t>
            </w:r>
          </w:p>
        </w:tc>
      </w:tr>
    </w:tbl>
    <w:p>
      <w:pPr>
        <w:spacing w:after="80"/>
      </w:pP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approach VA Prosthetics or Rehabilitation asking them to procure Luka — no policy path exists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frame Luka as a medical device — it is non-medical assistive technology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promise VA coverage to families — personal funds and stipends are the realistic paths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reach out to VA contacts before the portal dashboard has active check-ins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approach VA without referencing Salisbury VA or Paro precedents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present only Monthly Rental pricing to Aid &amp; Attendance families — Own It is often a better fit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8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The VA will not buy Luka.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E7145"/>
          <w:sz w:val="22"/>
          <w:szCs w:val="22"/>
        </w:rPr>
        <w:t xml:space="preserve">But 57,000 PCAFC caregivers already have the funds to start today.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Monthly Rental or Own It — both work. Start with a 14-day free trial.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2026-04-04T10:45:20.493Z</dcterms:created>
  <dcterms:modified xsi:type="dcterms:W3CDTF">2026-04-04T10:45:20.493Z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