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240"/>
        <w:jc w:val="center"/>
      </w:pPr>
      <w:r>
        <w:rPr>
          <w:rFonts w:ascii="Arial" w:cs="Arial" w:eastAsia="Arial" w:hAnsi="Arial"/>
          <w:b/>
          <w:bCs/>
          <w:color w:val="1B3A61"/>
          <w:sz w:val="30"/>
          <w:szCs w:val="30"/>
        </w:rPr>
        <w:t xml:space="preserve">ELDERCARE ROBOTICS LLC</w:t>
      </w:r>
    </w:p>
    <w:p>
      <w:pPr>
        <w:spacing w:after="40"/>
        <w:jc w:val="center"/>
      </w:pPr>
      <w:r>
        <w:rPr>
          <w:rFonts w:ascii="Arial" w:cs="Arial" w:eastAsia="Arial" w:hAnsi="Arial"/>
          <w:b/>
          <w:bCs/>
          <w:color w:val="1B3A61"/>
          <w:sz w:val="48"/>
          <w:szCs w:val="48"/>
        </w:rPr>
        <w:t xml:space="preserve">Luka Bear™</w:t>
      </w:r>
    </w:p>
    <w:p>
      <w:pPr>
        <w:spacing w:after="200"/>
        <w:jc w:val="center"/>
      </w:pPr>
      <w:r>
        <w:rPr>
          <w:rFonts w:ascii="Arial" w:cs="Arial" w:eastAsia="Arial" w:hAnsi="Arial"/>
          <w:i/>
          <w:iCs/>
          <w:color w:val="26517F"/>
          <w:sz w:val="22"/>
          <w:szCs w:val="22"/>
        </w:rPr>
        <w:t xml:space="preserve">Interactive Eldercare Companion  ·  Functional Assistive Technology</w:t>
      </w:r>
    </w:p>
    <w:p>
      <w:pPr>
        <w:pBdr>
          <w:top w:val="single" w:color="B88A13" w:sz="18" w:space="4"/>
          <w:bottom w:val="single" w:color="B88A13" w:sz="18" w:space="4"/>
        </w:pBdr>
        <w:shd w:fill="1B3A61" w:color="auto" w:val="clear"/>
        <w:spacing w:after="120" w:before="120"/>
        <w:jc w:val="center"/>
      </w:pPr>
      <w:r>
        <w:rPr>
          <w:rFonts w:ascii="Arial" w:cs="Arial" w:eastAsia="Arial" w:hAnsi="Arial"/>
          <w:b/>
          <w:bCs/>
          <w:color w:val="FFFFFF"/>
          <w:sz w:val="30"/>
          <w:szCs w:val="30"/>
        </w:rPr>
        <w:t xml:space="preserve">COMPLIANCE &amp; CERTIFICATION PORTFOLIO</w:t>
      </w:r>
    </w:p>
    <w:p>
      <w:pPr>
        <w:spacing w:after="40" w:before="160"/>
        <w:jc w:val="center"/>
      </w:pPr>
      <w:r>
        <w:rPr>
          <w:rFonts w:ascii="Arial" w:cs="Arial" w:eastAsia="Arial" w:hAnsi="Arial"/>
          <w:b/>
          <w:bCs/>
          <w:color w:val="1B3A61"/>
          <w:sz w:val="22"/>
          <w:szCs w:val="22"/>
        </w:rPr>
        <w:t>Version 2.1  ·  Revised July 4, 2026</w:t>
      </w:r>
    </w:p>
    <w:p>
      <w:pPr>
        <w:spacing w:after="200"/>
        <w:jc w:val="center"/>
      </w:pPr>
      <w:r>
        <w:rPr>
          <w:rFonts w:ascii="Arial" w:cs="Arial" w:eastAsia="Arial" w:hAnsi="Arial"/>
          <w:color w:val="444444"/>
          <w:sz w:val="20"/>
          <w:szCs w:val="20"/>
        </w:rPr>
        <w:t xml:space="preserve">Eduard Takhunts · Founder &amp; CEO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900"/>
        <w:gridCol w:w="6460"/>
      </w:tblGrid>
      <w:tr>
        <w:tc>
          <w:tcPr>
            <w:tcW w:type="dxa" w:w="29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bCs/>
                <w:color w:val="1B3A61"/>
                <w:sz w:val="19"/>
                <w:szCs w:val="19"/>
              </w:rPr>
              <w:t xml:space="preserve">Support line</w:t>
            </w:r>
          </w:p>
        </w:tc>
        <w:tc>
          <w:tcPr>
            <w:tcW w:type="dxa" w:w="64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(413) 296-LUKA  (413-296-5852) — service &amp; technical support, 24/7</w:t>
            </w:r>
          </w:p>
        </w:tc>
      </w:tr>
      <w:tr>
        <w:tc>
          <w:tcPr>
            <w:tcW w:type="dxa" w:w="29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bCs/>
                <w:color w:val="1B3A61"/>
                <w:sz w:val="19"/>
                <w:szCs w:val="19"/>
              </w:rPr>
              <w:t xml:space="preserve">Provider / Org line</w:t>
            </w:r>
          </w:p>
        </w:tc>
        <w:tc>
          <w:tcPr>
            <w:tcW w:type="dxa" w:w="64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202-422-2764 — organization &amp; payer-credentialing record (NPPES / PRSS)</w:t>
            </w:r>
          </w:p>
        </w:tc>
      </w:tr>
      <w:tr>
        <w:tc>
          <w:tcPr>
            <w:tcW w:type="dxa" w:w="29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bCs/>
                <w:color w:val="1B3A61"/>
                <w:sz w:val="19"/>
                <w:szCs w:val="19"/>
              </w:rPr>
              <w:t xml:space="preserve">Email</w:t>
            </w:r>
          </w:p>
        </w:tc>
        <w:tc>
          <w:tcPr>
            <w:tcW w:type="dxa" w:w="64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info@eldercarerobotics.net</w:t>
            </w:r>
          </w:p>
        </w:tc>
      </w:tr>
      <w:tr>
        <w:tc>
          <w:tcPr>
            <w:tcW w:type="dxa" w:w="29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bCs/>
                <w:color w:val="1B3A61"/>
                <w:sz w:val="19"/>
                <w:szCs w:val="19"/>
              </w:rPr>
              <w:t xml:space="preserve">Web</w:t>
            </w:r>
          </w:p>
        </w:tc>
        <w:tc>
          <w:tcPr>
            <w:tcW w:type="dxa" w:w="64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www.eldercarerobotics.net  ·  www.lukabear.org  ·  www.lukabear.net</w:t>
            </w:r>
          </w:p>
        </w:tc>
      </w:tr>
      <w:tr>
        <w:tc>
          <w:tcPr>
            <w:tcW w:type="dxa" w:w="29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bCs/>
                <w:color w:val="1B3A61"/>
                <w:sz w:val="19"/>
                <w:szCs w:val="19"/>
              </w:rPr>
              <w:t xml:space="preserve">eMMA</w:t>
            </w:r>
          </w:p>
        </w:tc>
        <w:tc>
          <w:tcPr>
            <w:tcW w:type="dxa" w:w="64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eMaryland Marketplace Advantage — REGISTERED ✓ March 28, 2026</w:t>
            </w:r>
          </w:p>
        </w:tc>
      </w:tr>
    </w:tbl>
    <w:p>
      <w:pPr>
        <w:pBdr>
          <w:top w:val="single" w:color="B88A13" w:sz="6" w:space="4"/>
          <w:bottom w:val="single" w:color="B88A13" w:sz="6" w:space="4"/>
        </w:pBdr>
        <w:shd w:fill="EFE4CF" w:color="auto" w:val="clear"/>
        <w:spacing w:after="120" w:before="120"/>
      </w:pPr>
      <w:r>
        <w:rPr>
          <w:rFonts w:ascii="Arial" w:cs="Arial" w:eastAsia="Arial" w:hAnsi="Arial"/>
          <w:i/>
          <w:iCs/>
          <w:color w:val="1B3A61"/>
          <w:sz w:val="18"/>
          <w:szCs w:val="18"/>
        </w:rPr>
        <w:t xml:space="preserve">This portfolio is provided for facility administrators, procurement officers, and legal counsel. It documents Luka Bear as a non-medical functional Assistive Technology device. It is not FDA clearance, a guarantee of reimbursement, or legal advice.</w:t>
      </w:r>
    </w:p>
    <w:p>
      <w:r>
        <w:br w:type="page"/>
      </w:r>
    </w:p>
    <w:p>
      <w:pPr>
        <w:pBdr>
          <w:bottom w:val="single" w:color="B88A13" w:sz="18" w:space="2"/>
        </w:pBdr>
        <w:shd w:fill="1B3A61" w:color="auto" w:val="clear"/>
        <w:spacing w:after="60" w:before="260"/>
      </w:pPr>
      <w:r>
        <w:rPr>
          <w:rFonts w:ascii="Arial" w:cs="Arial" w:eastAsia="Arial" w:hAnsi="Arial"/>
          <w:b/>
          <w:bCs/>
          <w:color w:val="B88A13"/>
          <w:sz w:val="26"/>
          <w:szCs w:val="26"/>
        </w:rPr>
        <w:t xml:space="preserve"/>
      </w:r>
      <w:r>
        <w:rPr>
          <w:rFonts w:ascii="Arial" w:cs="Arial" w:eastAsia="Arial" w:hAnsi="Arial"/>
          <w:b/>
          <w:bCs/>
          <w:color w:val="FFFFFF"/>
          <w:sz w:val="26"/>
          <w:szCs w:val="26"/>
        </w:rPr>
        <w:t xml:space="preserve">What’s Inside This Document</w:t>
      </w:r>
    </w:p>
    <w:p>
      <w:pPr>
        <w:spacing w:after="120"/>
      </w:pPr>
      <w:r>
        <w:rPr>
          <w:sz w:val="20"/>
          <w:szCs w:val="20"/>
        </w:rPr>
        <w:t xml:space="preserve">Organized to answer the questions that matter most — starting with privacy, data protection, and HIPAA, then regulatory classification, then technical and hardware certifications.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CCCCCC" w:sz="1"/>
              <w:left w:val="single" w:color="CCCCCC" w:sz="1"/>
              <w:bottom w:val="single" w:color="CCCCCC" w:sz="1"/>
              <w:right w:val="single" w:color="CCCCCC" w:sz="1"/>
            </w:tcBorders>
            <w:shd w:fill="1B3A61" w:color="auto" w:val="clear"/>
            <w:tcMar>
              <w:top w:type="dxa" w:w="70"/>
              <w:left w:type="dxa" w:w="110"/>
              <w:bottom w:type="dxa" w:w="70"/>
              <w:right w:type="dxa" w:w="110"/>
            </w:tcMar>
          </w:tcPr>
          <w:p>
            <w:r>
              <w:rPr>
                <w:rFonts w:ascii="Arial" w:cs="Arial" w:eastAsia="Arial" w:hAnsi="Arial"/>
                <w:b/>
                <w:bCs/>
                <w:color w:val="FFFFFF"/>
                <w:sz w:val="19"/>
                <w:szCs w:val="19"/>
              </w:rPr>
              <w:t xml:space="preserve">Priority Sections — Start Here</w:t>
            </w:r>
          </w:p>
        </w:tc>
        <w:tc>
          <w:tcPr>
            <w:tcW w:type="dxa" w:w="4680"/>
            <w:tcBorders>
              <w:top w:val="single" w:color="CCCCCC" w:sz="1"/>
              <w:left w:val="single" w:color="CCCCCC" w:sz="1"/>
              <w:bottom w:val="single" w:color="CCCCCC" w:sz="1"/>
              <w:right w:val="single" w:color="CCCCCC" w:sz="1"/>
            </w:tcBorders>
            <w:shd w:fill="1B3A61" w:color="auto" w:val="clear"/>
            <w:tcMar>
              <w:top w:type="dxa" w:w="70"/>
              <w:left w:type="dxa" w:w="110"/>
              <w:bottom w:type="dxa" w:w="70"/>
              <w:right w:type="dxa" w:w="110"/>
            </w:tcMar>
          </w:tcPr>
          <w:p>
            <w:r>
              <w:rPr>
                <w:rFonts w:ascii="Arial" w:cs="Arial" w:eastAsia="Arial" w:hAnsi="Arial"/>
                <w:b/>
                <w:bCs/>
                <w:color w:val="FFFFFF"/>
                <w:sz w:val="19"/>
                <w:szCs w:val="19"/>
              </w:rPr>
              <w:t xml:space="preserve">Technical &amp; Certification Sections</w:t>
            </w:r>
          </w:p>
        </w:tc>
      </w:tr>
      <w:tr>
        <w:tc>
          <w:tcPr>
            <w:tcW w:type="dxa" w:w="468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Section 0 — Intended Use &amp; Functional Classification</w:t>
            </w:r>
          </w:p>
        </w:tc>
        <w:tc>
          <w:tcPr>
            <w:tcW w:type="dxa" w:w="468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Section 7 — Compliance Status at a Glance</w:t>
            </w:r>
          </w:p>
        </w:tc>
      </w:tr>
      <w:tr>
        <w:tc>
          <w:tcPr>
            <w:tcW w:type="dxa" w:w="468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Section 1 — Privacy &amp; Data Protection</w:t>
            </w:r>
          </w:p>
        </w:tc>
        <w:tc>
          <w:tcPr>
            <w:tcW w:type="dxa" w:w="468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Section 8 — Device Classification &amp; Power Architecture</w:t>
            </w:r>
          </w:p>
        </w:tc>
      </w:tr>
      <w:tr>
        <w:tc>
          <w:tcPr>
            <w:tcW w:type="dxa" w:w="468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Section 2 — HIPAA &amp; Business Associate Agreement</w:t>
            </w:r>
          </w:p>
        </w:tc>
        <w:tc>
          <w:tcPr>
            <w:tcW w:type="dxa" w:w="468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Section 9 — Technical Standards &amp; Certifications</w:t>
            </w:r>
          </w:p>
        </w:tc>
      </w:tr>
      <w:tr>
        <w:tc>
          <w:tcPr>
            <w:tcW w:type="dxa" w:w="468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Section 3 — Data Storage Architecture</w:t>
            </w:r>
          </w:p>
        </w:tc>
        <w:tc>
          <w:tcPr>
            <w:tcW w:type="dxa" w:w="468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Section 10 — Component Certification Detail</w:t>
            </w:r>
          </w:p>
        </w:tc>
      </w:tr>
      <w:tr>
        <w:tc>
          <w:tcPr>
            <w:tcW w:type="dxa" w:w="468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Section 4 — FDA Classification &amp; Regulatory Status</w:t>
            </w:r>
          </w:p>
        </w:tc>
        <w:tc>
          <w:tcPr>
            <w:tcW w:type="dxa" w:w="468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Appendix A — Declaration of Conformity (Signed)</w:t>
            </w:r>
          </w:p>
        </w:tc>
      </w:tr>
      <w:tr>
        <w:tc>
          <w:tcPr>
            <w:tcW w:type="dxa" w:w="468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Section 5 — Healthcare Program Compliance</w:t>
            </w:r>
          </w:p>
        </w:tc>
        <w:tc>
          <w:tcPr>
            <w:tcW w:type="dxa" w:w="468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Appendix B — FDA Non-Medical Self-Declaration (Signed)</w:t>
            </w:r>
          </w:p>
        </w:tc>
      </w:tr>
      <w:tr>
        <w:tc>
          <w:tcPr>
            <w:tcW w:type="dxa" w:w="468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Section 6 — Intellectual Property Portfolio</w:t>
            </w:r>
          </w:p>
        </w:tc>
        <w:tc>
          <w:tcPr>
            <w:tcW w:type="dxa" w:w="468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Appendix C — HIPAA BAA Template  ·  Appendix D — Document Index</w:t>
            </w:r>
          </w:p>
        </w:tc>
      </w:tr>
    </w:tbl>
    <w:p>
      <w:r>
        <w:br w:type="page"/>
      </w:r>
    </w:p>
    <w:p>
      <w:pPr>
        <w:pBdr>
          <w:bottom w:val="single" w:color="B88A13" w:sz="18" w:space="2"/>
        </w:pBdr>
        <w:shd w:fill="1B3A61" w:color="auto" w:val="clear"/>
        <w:spacing w:after="0" w:before="260"/>
      </w:pPr>
      <w:r>
        <w:rPr>
          <w:rFonts w:ascii="Arial" w:cs="Arial" w:eastAsia="Arial" w:hAnsi="Arial"/>
          <w:b/>
          <w:bCs/>
          <w:color w:val="B88A13"/>
          <w:sz w:val="26"/>
          <w:szCs w:val="26"/>
        </w:rPr>
        <w:t xml:space="preserve">0   </w:t>
      </w:r>
      <w:r>
        <w:rPr>
          <w:rFonts w:ascii="Arial" w:cs="Arial" w:eastAsia="Arial" w:hAnsi="Arial"/>
          <w:b/>
          <w:bCs/>
          <w:color w:val="FFFFFF"/>
          <w:sz w:val="26"/>
          <w:szCs w:val="26"/>
        </w:rPr>
        <w:t xml:space="preserve">Intended Use &amp; Functional Classification</w:t>
      </w:r>
    </w:p>
    <w:p>
      <w:pPr>
        <w:pBdr>
          <w:bottom w:val="single" w:color="B88A13" w:sz="18" w:space="2"/>
        </w:pBdr>
        <w:shd w:fill="1B3A61" w:color="auto" w:val="clear"/>
        <w:spacing w:after="120" w:before="0"/>
      </w:pPr>
      <w:r>
        <w:rPr>
          <w:rFonts w:ascii="Arial" w:cs="Arial" w:eastAsia="Arial" w:hAnsi="Arial"/>
          <w:i/>
          <w:iCs/>
          <w:color w:val="F7EFE1"/>
          <w:sz w:val="19"/>
          <w:szCs w:val="19"/>
        </w:rPr>
        <w:t xml:space="preserve">Luka Bear’s positioning as functional Assistive Technology for Medicaid, MCO, and waiver audiences</w:t>
      </w:r>
    </w:p>
    <w:p>
      <w:pPr>
        <w:spacing w:after="80" w:before="200"/>
      </w:pPr>
      <w:r>
        <w:rPr>
          <w:rFonts w:ascii="Arial" w:cs="Arial" w:eastAsia="Arial" w:hAnsi="Arial"/>
          <w:b/>
          <w:bCs/>
          <w:color w:val="1B3A61"/>
          <w:sz w:val="23"/>
          <w:szCs w:val="23"/>
        </w:rPr>
        <w:t xml:space="preserve">0.1  Intended Use Statement</w:t>
      </w:r>
    </w:p>
    <w:p>
      <w:pPr>
        <w:spacing w:after="120"/>
      </w:pPr>
      <w:r>
        <w:rPr>
          <w:sz w:val="20"/>
          <w:szCs w:val="20"/>
        </w:rPr>
        <w:t xml:space="preserve">Luka Bear is a non-medical, AI-enabled functional Assistive Technology device intended to support adult Medicaid, Medicare, and private-pay members living in home and community-based settings. Its core function is to support and increase independence in Activities of Daily Living (ADLs), Instrumental Activities of Daily Living (IADLs), and health-related tasks, in alignment with CMS guidance for Assistive Technology benefit categories under HCBS waiver programs.</w:t>
      </w:r>
    </w:p>
    <w:p>
      <w:pPr>
        <w:spacing w:after="80" w:before="200"/>
      </w:pPr>
      <w:r>
        <w:rPr>
          <w:rFonts w:ascii="Arial" w:cs="Arial" w:eastAsia="Arial" w:hAnsi="Arial"/>
          <w:b/>
          <w:bCs/>
          <w:color w:val="1B3A61"/>
          <w:sz w:val="23"/>
          <w:szCs w:val="23"/>
        </w:rPr>
        <w:t xml:space="preserve">0.2  Functional Support Mapping</w:t>
      </w:r>
    </w:p>
    <w:p>
      <w:pPr>
        <w:spacing w:after="120"/>
      </w:pPr>
      <w:r>
        <w:rPr>
          <w:sz w:val="20"/>
          <w:szCs w:val="20"/>
        </w:rPr>
        <w:t xml:space="preserve">Each capability is described by the functional outcome it supports. Specific billing codes are intentionally omitted here — see the note below.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rPr>
          <w:tblHeader/>
        </w:trPr>
        <w:tc>
          <w:tcPr>
            <w:tcW w:type="dxa" w:w="3500"/>
            <w:tcBorders>
              <w:top w:val="single" w:color="CCCCCC" w:sz="1"/>
              <w:left w:val="single" w:color="CCCCCC" w:sz="1"/>
              <w:bottom w:val="single" w:color="CCCCCC" w:sz="1"/>
              <w:right w:val="single" w:color="CCCCCC" w:sz="1"/>
            </w:tcBorders>
            <w:shd w:fill="1B3A61" w:color="auto" w:val="clear"/>
            <w:tcMar>
              <w:top w:type="dxa" w:w="70"/>
              <w:left w:type="dxa" w:w="110"/>
              <w:bottom w:type="dxa" w:w="70"/>
              <w:right w:type="dxa" w:w="110"/>
            </w:tcMar>
          </w:tcPr>
          <w:p>
            <w:r>
              <w:rPr>
                <w:rFonts w:ascii="Arial" w:cs="Arial" w:eastAsia="Arial" w:hAnsi="Arial"/>
                <w:b/>
                <w:bCs/>
                <w:color w:val="FFFFFF"/>
                <w:sz w:val="19"/>
                <w:szCs w:val="19"/>
              </w:rPr>
              <w:t xml:space="preserve">Luka Bear Capability</w:t>
            </w:r>
          </w:p>
        </w:tc>
        <w:tc>
          <w:tcPr>
            <w:tcW w:type="dxa" w:w="5860"/>
            <w:tcBorders>
              <w:top w:val="single" w:color="CCCCCC" w:sz="1"/>
              <w:left w:val="single" w:color="CCCCCC" w:sz="1"/>
              <w:bottom w:val="single" w:color="CCCCCC" w:sz="1"/>
              <w:right w:val="single" w:color="CCCCCC" w:sz="1"/>
            </w:tcBorders>
            <w:shd w:fill="1B3A61" w:color="auto" w:val="clear"/>
            <w:tcMar>
              <w:top w:type="dxa" w:w="70"/>
              <w:left w:type="dxa" w:w="110"/>
              <w:bottom w:type="dxa" w:w="70"/>
              <w:right w:type="dxa" w:w="110"/>
            </w:tcMar>
          </w:tcPr>
          <w:p>
            <w:r>
              <w:rPr>
                <w:rFonts w:ascii="Arial" w:cs="Arial" w:eastAsia="Arial" w:hAnsi="Arial"/>
                <w:b/>
                <w:bCs/>
                <w:color w:val="FFFFFF"/>
                <w:sz w:val="19"/>
                <w:szCs w:val="19"/>
              </w:rPr>
              <w:t xml:space="preserve">Functional Classification (CMS ADL / IADL / health-related task)</w:t>
            </w:r>
          </w:p>
        </w:tc>
      </w:tr>
      <w:tr>
        <w:tc>
          <w:tcPr>
            <w:tcW w:type="dxa" w:w="35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Medication management &amp; reminders (with verbal confirmation)</w:t>
            </w:r>
          </w:p>
        </w:tc>
        <w:tc>
          <w:tcPr>
            <w:tcW w:type="dxa" w:w="58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ADL / health-related task support — supports adherence to a self-directed routine</w:t>
            </w:r>
          </w:p>
        </w:tc>
      </w:tr>
      <w:tr>
        <w:tc>
          <w:tcPr>
            <w:tcW w:type="dxa" w:w="35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Appointment reminders &amp; coordination</w:t>
            </w:r>
          </w:p>
        </w:tc>
        <w:tc>
          <w:tcPr>
            <w:tcW w:type="dxa" w:w="58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IADL support — healthcare coordination</w:t>
            </w:r>
          </w:p>
        </w:tc>
      </w:tr>
      <w:tr>
        <w:tc>
          <w:tcPr>
            <w:tcW w:type="dxa" w:w="35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Caregiver-configured help alert (voice-activated caregiver notification)</w:t>
            </w:r>
          </w:p>
        </w:tc>
        <w:tc>
          <w:tcPr>
            <w:tcW w:type="dxa" w:w="58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IADL support — caregiver communication. Notification only; not an emergency or 911 response service</w:t>
            </w:r>
          </w:p>
        </w:tc>
      </w:tr>
      <w:tr>
        <w:tc>
          <w:tcPr>
            <w:tcW w:type="dxa" w:w="35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Cognitive Guardian™ evening and overnight support routines</w:t>
            </w:r>
          </w:p>
        </w:tc>
        <w:tc>
          <w:tcPr>
            <w:tcW w:type="dxa" w:w="58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Functional support for independence — reduces the need for constant in-person supervision</w:t>
            </w:r>
          </w:p>
        </w:tc>
      </w:tr>
      <w:tr>
        <w:tc>
          <w:tcPr>
            <w:tcW w:type="dxa" w:w="35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Family &amp; care-team communication (voice / video / photo)</w:t>
            </w:r>
          </w:p>
        </w:tc>
        <w:tc>
          <w:tcPr>
            <w:tcW w:type="dxa" w:w="58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IADL support — community and care-team connection</w:t>
            </w:r>
          </w:p>
        </w:tc>
      </w:tr>
      <w:tr>
        <w:tc>
          <w:tcPr>
            <w:tcW w:type="dxa" w:w="35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Motion-prompted verbal reassurance, with optional caregiver notification</w:t>
            </w:r>
          </w:p>
        </w:tc>
        <w:tc>
          <w:tcPr>
            <w:tcW w:type="dxa" w:w="58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Functional support — reduces the need for in-person supervision (not a fall-prevention or detection function)</w:t>
            </w:r>
          </w:p>
        </w:tc>
      </w:tr>
      <w:tr>
        <w:tc>
          <w:tcPr>
            <w:tcW w:type="dxa" w:w="35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Caregiver Companion App — remote reminders &amp; remote-initiated engagement activities</w:t>
            </w:r>
          </w:p>
        </w:tc>
        <w:tc>
          <w:tcPr>
            <w:tcW w:type="dxa" w:w="58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ADL / IADL support (remote caregiver support); each delivery produces a documented activity record</w:t>
            </w:r>
          </w:p>
        </w:tc>
      </w:tr>
      <w:tr>
        <w:tc>
          <w:tcPr>
            <w:tcW w:type="dxa" w:w="35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Caregiver Companion App — remote room check-in &amp; quiet-day notification</w:t>
            </w:r>
          </w:p>
        </w:tc>
        <w:tc>
          <w:tcPr>
            <w:tcW w:type="dxa" w:w="58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IADL support — remote caregiver connection and notification</w:t>
            </w:r>
          </w:p>
        </w:tc>
      </w:tr>
      <w:tr>
        <w:tc>
          <w:tcPr>
            <w:tcW w:type="dxa" w:w="3500"/>
          </w:tcPr>
          <w:p>
            <w:r>
              <w:t>Caregiver Companion App — Away Monitoring behavior clips (optional)</w:t>
            </w:r>
          </w:p>
        </w:tc>
        <w:tc>
          <w:tcPr>
            <w:tcW w:type="dxa" w:w="5860"/>
          </w:tcPr>
          <w:p>
            <w:r>
              <w:t>IADL support — remote caregiver review of activity while away. Caregiver-enabled and off by default; short motion clips (no audio), auto-deleted after 7 days; not a fall-prevention or detection function.</w:t>
            </w:r>
          </w:p>
        </w:tc>
      </w:tr>
    </w:tbl>
    <w:p>
      <w:pPr>
        <w:pBdr>
          <w:top w:val="single" w:color="B88A13" w:sz="6" w:space="4"/>
          <w:bottom w:val="single" w:color="B88A13" w:sz="6" w:space="4"/>
        </w:pBdr>
        <w:shd w:fill="EFE4CF" w:color="auto" w:val="clear"/>
        <w:spacing w:after="120" w:before="120"/>
      </w:pPr>
      <w:r>
        <w:rPr>
          <w:rFonts w:ascii="Arial" w:cs="Arial" w:eastAsia="Arial" w:hAnsi="Arial"/>
          <w:b/>
          <w:bCs/>
          <w:color w:val="1B3A61"/>
          <w:sz w:val="19"/>
          <w:szCs w:val="19"/>
        </w:rPr>
        <w:t xml:space="preserve">On billing codes:  </w:t>
      </w:r>
      <w:r>
        <w:rPr>
          <w:rFonts w:ascii="Arial" w:cs="Arial" w:eastAsia="Arial" w:hAnsi="Arial"/>
          <w:color w:val="333333"/>
          <w:sz w:val="19"/>
          <w:szCs w:val="19"/>
        </w:rPr>
        <w:t xml:space="preserve">Specific HCPCS / billing codes are intentionally not asserted in this portfolio. The applicable Medicaid specialty and code set are being confirmed with the Virginia Department of Medical Assistance Services (DMAS) and contracted managed care organizations. Luka Bear’s functional support set aligns with the CMS HCBS definitions for Assistive Technology, Electronic Home-Based Supports (EHBS), and Remote Supports.</w:t>
      </w:r>
    </w:p>
    <w:p>
      <w:pPr>
        <w:spacing w:after="80" w:before="200"/>
      </w:pPr>
      <w:r>
        <w:rPr>
          <w:rFonts w:ascii="Arial" w:cs="Arial" w:eastAsia="Arial" w:hAnsi="Arial"/>
          <w:b/>
          <w:bCs/>
          <w:color w:val="1B3A61"/>
          <w:sz w:val="23"/>
          <w:szCs w:val="23"/>
        </w:rPr>
        <w:t xml:space="preserve">0.3  Regulatory Authority &amp; Classification References</w:t>
      </w:r>
    </w:p>
    <w:p>
      <w:pPr>
        <w:pStyle w:val="ListParagraph"/>
        <w:numPr>
          <w:ilvl w:val="0"/>
          <w:numId w:val="2"/>
        </w:numPr>
        <w:spacing w:after="60"/>
      </w:pPr>
      <w:r>
        <w:rPr>
          <w:b/>
          <w:bCs/>
        </w:rPr>
        <w:t xml:space="preserve">Federal Assistive Technology Act of 2004 (29 U.S.C. § 3002) </w:t>
      </w:r>
      <w:r>
        <w:t xml:space="preserve">— Luka Bear qualifies as assistive technology under the statutory functional definition.</w:t>
      </w:r>
    </w:p>
    <w:p>
      <w:pPr>
        <w:pStyle w:val="ListParagraph"/>
        <w:numPr>
          <w:ilvl w:val="0"/>
          <w:numId w:val="2"/>
        </w:numPr>
        <w:spacing w:after="60"/>
      </w:pPr>
      <w:r>
        <w:rPr>
          <w:b/>
          <w:bCs/>
        </w:rPr>
        <w:t xml:space="preserve">FDA General Wellness Policy (July 2016) </w:t>
      </w:r>
      <w:r>
        <w:t xml:space="preserve">— Luka Bear is a general wellness product and is not a medical device per 21 U.S.C. § 321(h). See Appendix B.</w:t>
      </w:r>
    </w:p>
    <w:p>
      <w:pPr>
        <w:pStyle w:val="ListParagraph"/>
        <w:numPr>
          <w:ilvl w:val="0"/>
          <w:numId w:val="2"/>
        </w:numPr>
        <w:spacing w:after="60"/>
      </w:pPr>
      <w:r>
        <w:rPr>
          <w:b/>
          <w:bCs/>
        </w:rPr>
        <w:t xml:space="preserve">CMS Medicaid HCBS Assistive Technology guidance </w:t>
      </w:r>
      <w:r>
        <w:t xml:space="preserve">— AT must directly support independence in ADLs, IADLs, or health-related tasks. Luka Bear’s functional set (0.2) aligns with this criterion.</w:t>
      </w:r>
    </w:p>
    <w:p>
      <w:pPr>
        <w:pStyle w:val="ListParagraph"/>
        <w:numPr>
          <w:ilvl w:val="0"/>
          <w:numId w:val="2"/>
        </w:numPr>
        <w:spacing w:after="60"/>
      </w:pPr>
      <w:r>
        <w:rPr>
          <w:b/>
          <w:bCs/>
        </w:rPr>
        <w:t xml:space="preserve">Virginia Medicaid PRSS </w:t>
      </w:r>
      <w:r>
        <w:t xml:space="preserve">— Eldercare Robotics LLC enrolled effective 05/11/2026 (Provider ID 30018605100001, Base ID 3001860510). The company is pursuing enrollment under a non-clinical assistive-technology / Electronic Home-Based Supports (EHBS) pathway (12VAC30-122-360), which permits an EHBS manufacturer or company to provide equipment, installation, training, and maintenance without a clinical license. The applicable specialty and taxonomy are being finalized with DMAS.</w:t>
      </w:r>
    </w:p>
    <w:p>
      <w:pPr>
        <w:pStyle w:val="ListParagraph"/>
        <w:numPr>
          <w:ilvl w:val="0"/>
          <w:numId w:val="2"/>
        </w:numPr>
        <w:spacing w:after="60"/>
      </w:pPr>
      <w:r>
        <w:rPr>
          <w:b/>
          <w:bCs/>
        </w:rPr>
        <w:t xml:space="preserve">Peer-state precedent (Washington Medicaid) </w:t>
      </w:r>
      <w:r>
        <w:t xml:space="preserve">— A comparable AI-enabled companion (ElliQ) was made available to eligible recipients under a “Smart Care Device” benefit (code SA077_U2, 03/18/2026), establishing precedent for AI-enabled functional Assistive Technology under CMS-aligned ADL / IADL criteria. Cited as category validation; Luka Bear is a different product and is not itself approved by that program.</w:t>
      </w:r>
    </w:p>
    <w:p>
      <w:pPr>
        <w:spacing w:after="80" w:before="200"/>
      </w:pPr>
      <w:r>
        <w:rPr>
          <w:rFonts w:ascii="Arial" w:cs="Arial" w:eastAsia="Arial" w:hAnsi="Arial"/>
          <w:b/>
          <w:bCs/>
          <w:color w:val="1B3A61"/>
          <w:sz w:val="23"/>
          <w:szCs w:val="23"/>
        </w:rPr>
        <w:t xml:space="preserve">0.4  Audience Note on Terminology</w:t>
      </w:r>
    </w:p>
    <w:p>
      <w:pPr>
        <w:spacing w:after="120"/>
      </w:pPr>
      <w:r>
        <w:rPr>
          <w:sz w:val="20"/>
          <w:szCs w:val="20"/>
        </w:rPr>
        <w:t xml:space="preserve">The consumer-facing name “Luka Bear — Interactive Eldercare Companion” and the program-facing description “functional Assistive Technology device supporting ADL, IADL, and health-related task independence” refer to the same physical product and the same set of capabilities documented throughout this portfolio.</w:t>
      </w:r>
    </w:p>
    <w:p>
      <w:r>
        <w:br w:type="page"/>
      </w:r>
    </w:p>
    <w:p>
      <w:pPr>
        <w:pBdr>
          <w:bottom w:val="single" w:color="B88A13" w:sz="18" w:space="2"/>
        </w:pBdr>
        <w:shd w:fill="1B3A61" w:color="auto" w:val="clear"/>
        <w:spacing w:after="0" w:before="260"/>
      </w:pPr>
      <w:r>
        <w:rPr>
          <w:rFonts w:ascii="Arial" w:cs="Arial" w:eastAsia="Arial" w:hAnsi="Arial"/>
          <w:b/>
          <w:bCs/>
          <w:color w:val="B88A13"/>
          <w:sz w:val="26"/>
          <w:szCs w:val="26"/>
        </w:rPr>
        <w:t xml:space="preserve">1   </w:t>
      </w:r>
      <w:r>
        <w:rPr>
          <w:rFonts w:ascii="Arial" w:cs="Arial" w:eastAsia="Arial" w:hAnsi="Arial"/>
          <w:b/>
          <w:bCs/>
          <w:color w:val="FFFFFF"/>
          <w:sz w:val="26"/>
          <w:szCs w:val="26"/>
        </w:rPr>
        <w:t xml:space="preserve">Privacy &amp; Data Protection</w:t>
      </w:r>
    </w:p>
    <w:p>
      <w:pPr>
        <w:pBdr>
          <w:bottom w:val="single" w:color="B88A13" w:sz="18" w:space="2"/>
        </w:pBdr>
        <w:shd w:fill="1B3A61" w:color="auto" w:val="clear"/>
        <w:spacing w:after="120" w:before="0"/>
      </w:pPr>
      <w:r>
        <w:rPr>
          <w:rFonts w:ascii="Arial" w:cs="Arial" w:eastAsia="Arial" w:hAnsi="Arial"/>
          <w:i/>
          <w:iCs/>
          <w:color w:val="F7EFE1"/>
          <w:sz w:val="19"/>
          <w:szCs w:val="19"/>
        </w:rPr>
        <w:t xml:space="preserve">What we collect, how we protect it, and the resident’s rights</w:t>
      </w:r>
    </w:p>
    <w:p>
      <w:pPr>
        <w:pBdr>
          <w:top w:val="single" w:color="B88A13" w:sz="6" w:space="4"/>
          <w:bottom w:val="single" w:color="B88A13" w:sz="6" w:space="4"/>
        </w:pBdr>
        <w:shd w:fill="EFE4CF" w:color="auto" w:val="clear"/>
        <w:spacing w:after="120" w:before="120"/>
      </w:pPr>
      <w:r>
        <w:rPr>
          <w:rFonts w:ascii="Arial" w:cs="Arial" w:eastAsia="Arial" w:hAnsi="Arial"/>
          <w:b/>
          <w:bCs/>
          <w:color w:val="1B3A61"/>
          <w:sz w:val="19"/>
          <w:szCs w:val="19"/>
        </w:rPr>
        <w:t xml:space="preserve">We do not sell personal data. We do not share data with advertisers. Luka Bear data is never used for third-party advertising or marketing.</w:t>
      </w:r>
    </w:p>
    <w:p>
      <w:pPr>
        <w:spacing w:after="80" w:before="200"/>
      </w:pPr>
      <w:r>
        <w:rPr>
          <w:rFonts w:ascii="Arial" w:cs="Arial" w:eastAsia="Arial" w:hAnsi="Arial"/>
          <w:b/>
          <w:bCs/>
          <w:color w:val="1B3A61"/>
          <w:sz w:val="23"/>
          <w:szCs w:val="23"/>
        </w:rPr>
        <w:t xml:space="preserve">1.1  Data Privacy Framework at a Glance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900"/>
        <w:gridCol w:w="6460"/>
      </w:tblGrid>
      <w:tr>
        <w:tc>
          <w:tcPr>
            <w:tcW w:type="dxa" w:w="29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bCs/>
                <w:color w:val="1B3A61"/>
                <w:sz w:val="19"/>
                <w:szCs w:val="19"/>
              </w:rPr>
              <w:t xml:space="preserve">Cloud Infrastructure</w:t>
            </w:r>
          </w:p>
        </w:tc>
        <w:tc>
          <w:tcPr>
            <w:tcW w:type="dxa" w:w="64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U.S.-based, HIPAA-eligible (Amazon S3, us-east-2). All data remains within the United States.</w:t>
            </w:r>
          </w:p>
        </w:tc>
      </w:tr>
      <w:tr>
        <w:tc>
          <w:tcPr>
            <w:tcW w:type="dxa" w:w="29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bCs/>
                <w:color w:val="1B3A61"/>
                <w:sz w:val="19"/>
                <w:szCs w:val="19"/>
              </w:rPr>
              <w:t xml:space="preserve">Encryption in Transit</w:t>
            </w:r>
          </w:p>
        </w:tc>
        <w:tc>
          <w:tcPr>
            <w:tcW w:type="dxa" w:w="64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TLS 1.2+ on all cloud/dashboard transmissions. The Caregiver Companion App remote link (camera, voice, control) runs over a WireGuard® / Tailscale private encrypted mesh (ChaCha20-Poly1305 authenticated encryption, Curve25519 key exchange).</w:t>
            </w:r>
          </w:p>
        </w:tc>
      </w:tr>
      <w:tr>
        <w:tc>
          <w:tcPr>
            <w:tcW w:type="dxa" w:w="29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bCs/>
                <w:color w:val="1B3A61"/>
                <w:sz w:val="19"/>
                <w:szCs w:val="19"/>
              </w:rPr>
              <w:t xml:space="preserve">Encryption at Rest</w:t>
            </w:r>
          </w:p>
        </w:tc>
        <w:tc>
          <w:tcPr>
            <w:tcW w:type="dxa" w:w="64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AES-256 for all stored data, including biography data and uploaded photos, video messages, and voice samples.</w:t>
            </w:r>
          </w:p>
        </w:tc>
      </w:tr>
      <w:tr>
        <w:tc>
          <w:tcPr>
            <w:tcW w:type="dxa" w:w="29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bCs/>
                <w:color w:val="1B3A61"/>
                <w:sz w:val="19"/>
                <w:szCs w:val="19"/>
              </w:rPr>
              <w:t xml:space="preserve">Access Control</w:t>
            </w:r>
          </w:p>
        </w:tc>
        <w:tc>
          <w:tcPr>
            <w:tcW w:type="dxa" w:w="64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Role-based access control (RBAC) with multi-factor authentication; Companion App is invitation-only with optional facility admin PIN.</w:t>
            </w:r>
          </w:p>
        </w:tc>
      </w:tr>
      <w:tr>
        <w:tc>
          <w:tcPr>
            <w:tcW w:type="dxa" w:w="29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bCs/>
                <w:color w:val="1B3A61"/>
                <w:sz w:val="19"/>
                <w:szCs w:val="19"/>
              </w:rPr>
              <w:t xml:space="preserve">Biometric Data</w:t>
            </w:r>
          </w:p>
        </w:tc>
        <w:tc>
          <w:tcPr>
            <w:tcW w:type="dxa" w:w="64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Optional face-recognition and Family Voice Library samples are collected only with consent, stored per-user and encrypted, and are never sold or used for advertising.</w:t>
            </w:r>
          </w:p>
        </w:tc>
      </w:tr>
      <w:tr>
        <w:tc>
          <w:tcPr>
            <w:tcW w:type="dxa" w:w="29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bCs/>
                <w:color w:val="1B3A61"/>
                <w:sz w:val="19"/>
                <w:szCs w:val="19"/>
              </w:rPr>
              <w:t xml:space="preserve">Data Sold / Shared</w:t>
            </w:r>
          </w:p>
        </w:tc>
        <w:tc>
          <w:tcPr>
            <w:tcW w:type="dxa" w:w="64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No — never sold; never shared with advertisers or third parties.</w:t>
            </w:r>
          </w:p>
        </w:tc>
      </w:tr>
      <w:tr>
        <w:tc>
          <w:tcPr>
            <w:tcW w:type="dxa" w:w="29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bCs/>
                <w:color w:val="1B3A61"/>
                <w:sz w:val="19"/>
                <w:szCs w:val="19"/>
              </w:rPr>
              <w:t xml:space="preserve">PHI Handling</w:t>
            </w:r>
          </w:p>
        </w:tc>
        <w:tc>
          <w:tcPr>
            <w:tcW w:type="dxa" w:w="64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Caregiver-submitted data processed under a Business Associate Agreement (BAA) framework.</w:t>
            </w:r>
          </w:p>
        </w:tc>
      </w:tr>
      <w:tr>
        <w:tc>
          <w:tcPr>
            <w:tcW w:type="dxa" w:w="29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bCs/>
                <w:color w:val="1B3A61"/>
                <w:sz w:val="19"/>
                <w:szCs w:val="19"/>
              </w:rPr>
              <w:t xml:space="preserve">Data Retention</w:t>
            </w:r>
          </w:p>
        </w:tc>
        <w:tc>
          <w:tcPr>
            <w:tcW w:type="dxa" w:w="64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Personalization data deleted within 30 days of subscription cancellation (encrypted DR backups cycle out within an additional 30 days).</w:t>
            </w:r>
          </w:p>
        </w:tc>
      </w:tr>
      <w:tr>
        <w:tc>
          <w:tcPr>
            <w:tcW w:type="dxa" w:w="29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bCs/>
                <w:color w:val="1B3A61"/>
                <w:sz w:val="19"/>
                <w:szCs w:val="19"/>
              </w:rPr>
              <w:t xml:space="preserve">Breach Notification</w:t>
            </w:r>
          </w:p>
        </w:tc>
        <w:tc>
          <w:tcPr>
            <w:tcW w:type="dxa" w:w="64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As Business Associate, Eldercare Robotics notifies the Covered Entity without unreasonable delay and no later than 30 calendar days of discovery, so the Covered Entity can meet its own notification obligations.</w:t>
            </w:r>
          </w:p>
        </w:tc>
      </w:tr>
      <w:tr>
        <w:tc>
          <w:tcPr>
            <w:tcW w:type="dxa" w:w="29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bCs/>
                <w:color w:val="1B3A61"/>
                <w:sz w:val="19"/>
                <w:szCs w:val="19"/>
              </w:rPr>
              <w:t xml:space="preserve">Privacy Policy</w:t>
            </w:r>
          </w:p>
        </w:tc>
        <w:tc>
          <w:tcPr>
            <w:tcW w:type="dxa" w:w="64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https://eldercarerobotics.net/privacy-policy/</w:t>
            </w:r>
          </w:p>
        </w:tc>
      </w:tr>
    </w:tbl>
    <w:p>
      <w:pPr>
        <w:spacing w:after="80" w:before="200"/>
      </w:pPr>
      <w:r>
        <w:rPr>
          <w:rFonts w:ascii="Arial" w:cs="Arial" w:eastAsia="Arial" w:hAnsi="Arial"/>
          <w:b/>
          <w:bCs/>
          <w:color w:val="1B3A61"/>
          <w:sz w:val="23"/>
          <w:szCs w:val="23"/>
        </w:rPr>
        <w:t xml:space="preserve">1.2  What Information We Collect</w:t>
      </w:r>
    </w:p>
    <w:p>
      <w:pPr>
        <w:spacing w:after="120"/>
      </w:pPr>
      <w:r>
        <w:rPr>
          <w:b/>
          <w:bCs/>
        </w:rPr>
        <w:t xml:space="preserve">A. Account, Contact &amp; Service Information: </w:t>
      </w:r>
      <w:r>
        <w:t xml:space="preserve">name, email, phone, address (if provided); program/service status; billing-related information (typically handled by payment providers).</w:t>
      </w:r>
    </w:p>
    <w:p>
      <w:pPr>
        <w:spacing w:after="120"/>
      </w:pPr>
      <w:r>
        <w:rPr>
          <w:b/>
          <w:bCs/>
        </w:rPr>
        <w:t xml:space="preserve">B. Caregiver-Submitted Support Information: </w:t>
      </w:r>
      <w:r>
        <w:t xml:space="preserve">life history, daily routines, non-clinical comfort strategies and calming cues, likes/dislikes.</w:t>
      </w:r>
    </w:p>
    <w:p>
      <w:pPr>
        <w:spacing w:after="120"/>
      </w:pPr>
      <w:r>
        <w:rPr>
          <w:b/>
          <w:bCs/>
        </w:rPr>
        <w:t xml:space="preserve">C. Voice, Image &amp; Interaction Data: </w:t>
      </w:r>
      <w:r>
        <w:t>voice input/transcripts used to generate responses; interaction logs (feature usage, timestamps); optional Family Voice Library samples (30–60 sec, recorded with the consent of the person recorded, used solely to generate that authorized family voice); photos and video messages uploaded by authorized caregivers; and a real-time Companion App camera view provided to authorized caregiver devices only — the live view itself is not recorded or stored. Separately, Luka records short, motion-triggered video clips (no audio) — recorded only when a caregiver turns on the optional Away Monitoring feature (off by default) so activity can be reviewed while away; these clips are encrypted at rest (AES-256), stored in the U.S. (Amazon S3, us-east-2), access-controlled, and automatically deleted 7 days after capture. A tamper-evident Camera Access History log records who viewed the camera and when.</w:t>
      </w:r>
    </w:p>
    <w:p>
      <w:pPr>
        <w:spacing w:after="120"/>
      </w:pPr>
      <w:r>
        <w:rPr>
          <w:b/>
          <w:bCs/>
        </w:rPr>
        <w:t xml:space="preserve">D. Technical &amp; Diagnostic Data: </w:t>
      </w:r>
      <w:r>
        <w:t xml:space="preserve">device health signals, connectivity status, software version, and limited analytics for reliability and support.</w:t>
      </w:r>
    </w:p>
    <w:p>
      <w:pPr>
        <w:spacing w:after="80" w:before="200"/>
      </w:pPr>
      <w:r>
        <w:rPr>
          <w:rFonts w:ascii="Arial" w:cs="Arial" w:eastAsia="Arial" w:hAnsi="Arial"/>
          <w:b/>
          <w:bCs/>
          <w:color w:val="1B3A61"/>
          <w:sz w:val="23"/>
          <w:szCs w:val="23"/>
        </w:rPr>
        <w:t xml:space="preserve">1.3  How Information Is Shared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700"/>
        <w:gridCol w:w="3260"/>
      </w:tblGrid>
      <w:tr>
        <w:trPr>
          <w:tblHeader/>
        </w:trPr>
        <w:tc>
          <w:tcPr>
            <w:tcW w:type="dxa" w:w="2400"/>
            <w:tcBorders>
              <w:top w:val="single" w:color="CCCCCC" w:sz="1"/>
              <w:left w:val="single" w:color="CCCCCC" w:sz="1"/>
              <w:bottom w:val="single" w:color="CCCCCC" w:sz="1"/>
              <w:right w:val="single" w:color="CCCCCC" w:sz="1"/>
            </w:tcBorders>
            <w:shd w:fill="1B3A61" w:color="auto" w:val="clear"/>
            <w:tcMar>
              <w:top w:type="dxa" w:w="70"/>
              <w:left w:type="dxa" w:w="110"/>
              <w:bottom w:type="dxa" w:w="70"/>
              <w:right w:type="dxa" w:w="110"/>
            </w:tcMar>
          </w:tcPr>
          <w:p>
            <w:r>
              <w:rPr>
                <w:rFonts w:ascii="Arial" w:cs="Arial" w:eastAsia="Arial" w:hAnsi="Arial"/>
                <w:b/>
                <w:bCs/>
                <w:color w:val="FFFFFF"/>
                <w:sz w:val="19"/>
                <w:szCs w:val="19"/>
              </w:rPr>
              <w:t xml:space="preserve">Recipient</w:t>
            </w:r>
          </w:p>
        </w:tc>
        <w:tc>
          <w:tcPr>
            <w:tcW w:type="dxa" w:w="3700"/>
            <w:tcBorders>
              <w:top w:val="single" w:color="CCCCCC" w:sz="1"/>
              <w:left w:val="single" w:color="CCCCCC" w:sz="1"/>
              <w:bottom w:val="single" w:color="CCCCCC" w:sz="1"/>
              <w:right w:val="single" w:color="CCCCCC" w:sz="1"/>
            </w:tcBorders>
            <w:shd w:fill="1B3A61" w:color="auto" w:val="clear"/>
            <w:tcMar>
              <w:top w:type="dxa" w:w="70"/>
              <w:left w:type="dxa" w:w="110"/>
              <w:bottom w:type="dxa" w:w="70"/>
              <w:right w:type="dxa" w:w="110"/>
            </w:tcMar>
          </w:tcPr>
          <w:p>
            <w:r>
              <w:rPr>
                <w:rFonts w:ascii="Arial" w:cs="Arial" w:eastAsia="Arial" w:hAnsi="Arial"/>
                <w:b/>
                <w:bCs/>
                <w:color w:val="FFFFFF"/>
                <w:sz w:val="19"/>
                <w:szCs w:val="19"/>
              </w:rPr>
              <w:t xml:space="preserve">Purpose</w:t>
            </w:r>
          </w:p>
        </w:tc>
        <w:tc>
          <w:tcPr>
            <w:tcW w:type="dxa" w:w="3260"/>
            <w:tcBorders>
              <w:top w:val="single" w:color="CCCCCC" w:sz="1"/>
              <w:left w:val="single" w:color="CCCCCC" w:sz="1"/>
              <w:bottom w:val="single" w:color="CCCCCC" w:sz="1"/>
              <w:right w:val="single" w:color="CCCCCC" w:sz="1"/>
            </w:tcBorders>
            <w:shd w:fill="1B3A61" w:color="auto" w:val="clear"/>
            <w:tcMar>
              <w:top w:type="dxa" w:w="70"/>
              <w:left w:type="dxa" w:w="110"/>
              <w:bottom w:type="dxa" w:w="70"/>
              <w:right w:type="dxa" w:w="110"/>
            </w:tcMar>
          </w:tcPr>
          <w:p>
            <w:r>
              <w:rPr>
                <w:rFonts w:ascii="Arial" w:cs="Arial" w:eastAsia="Arial" w:hAnsi="Arial"/>
                <w:b/>
                <w:bCs/>
                <w:color w:val="FFFFFF"/>
                <w:sz w:val="19"/>
                <w:szCs w:val="19"/>
              </w:rPr>
              <w:t xml:space="preserve">Safeguards</w:t>
            </w:r>
          </w:p>
        </w:tc>
      </w:tr>
      <w:tr>
        <w:tc>
          <w:tcPr>
            <w:tcW w:type="dxa" w:w="24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Authorized caregivers / facility staff</w:t>
            </w:r>
          </w:p>
        </w:tc>
        <w:tc>
          <w:tcPr>
            <w:tcW w:type="dxa" w:w="37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Care support, profile updates, optional remote access via the Companion App (invitation-only)</w:t>
            </w:r>
          </w:p>
        </w:tc>
        <w:tc>
          <w:tcPr>
            <w:tcW w:type="dxa" w:w="32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Secure login and access controls; optional admin PIN</w:t>
            </w:r>
          </w:p>
        </w:tc>
      </w:tr>
      <w:tr>
        <w:tc>
          <w:tcPr>
            <w:tcW w:type="dxa" w:w="24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Eldercare Robotics personnel</w:t>
            </w:r>
          </w:p>
        </w:tc>
        <w:tc>
          <w:tcPr>
            <w:tcW w:type="dxa" w:w="37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Customer support, maintenance, troubleshooting</w:t>
            </w:r>
          </w:p>
        </w:tc>
        <w:tc>
          <w:tcPr>
            <w:tcW w:type="dxa" w:w="32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Role-based, least-privilege access</w:t>
            </w:r>
          </w:p>
        </w:tc>
      </w:tr>
      <w:tr>
        <w:tc>
          <w:tcPr>
            <w:tcW w:type="dxa" w:w="24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Voice-synthesis subprocessor</w:t>
            </w:r>
          </w:p>
        </w:tc>
        <w:tc>
          <w:tcPr>
            <w:tcW w:type="dxa" w:w="37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Generates an authorized family voice from submitted samples</w:t>
            </w:r>
          </w:p>
        </w:tc>
        <w:tc>
          <w:tcPr>
            <w:tcW w:type="dxa" w:w="32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U.S.-based enterprise provider under contractual confidentiality / security obligations and BAA/DPA flow-down; samples never resold or used for advertising</w:t>
            </w:r>
          </w:p>
        </w:tc>
      </w:tr>
      <w:tr>
        <w:tc>
          <w:tcPr>
            <w:tcW w:type="dxa" w:w="24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Hosting / payment providers</w:t>
            </w:r>
          </w:p>
        </w:tc>
        <w:tc>
          <w:tcPr>
            <w:tcW w:type="dxa" w:w="37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Infrastructure and required service functions</w:t>
            </w:r>
          </w:p>
        </w:tc>
        <w:tc>
          <w:tcPr>
            <w:tcW w:type="dxa" w:w="32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Contractual confidentiality and security obligations</w:t>
            </w:r>
          </w:p>
        </w:tc>
      </w:tr>
      <w:tr>
        <w:tc>
          <w:tcPr>
            <w:tcW w:type="dxa" w:w="24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Legal / safety</w:t>
            </w:r>
          </w:p>
        </w:tc>
        <w:tc>
          <w:tcPr>
            <w:tcW w:type="dxa" w:w="37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When required by law or valid legal process</w:t>
            </w:r>
          </w:p>
        </w:tc>
        <w:tc>
          <w:tcPr>
            <w:tcW w:type="dxa" w:w="32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Disclosure limited to what is legally required</w:t>
            </w:r>
          </w:p>
        </w:tc>
      </w:tr>
    </w:tbl>
    <w:p>
      <w:pPr>
        <w:spacing w:after="80" w:before="200"/>
      </w:pPr>
      <w:r>
        <w:rPr>
          <w:rFonts w:ascii="Arial" w:cs="Arial" w:eastAsia="Arial" w:hAnsi="Arial"/>
          <w:b/>
          <w:bCs/>
          <w:color w:val="1B3A61"/>
          <w:sz w:val="23"/>
          <w:szCs w:val="23"/>
        </w:rPr>
        <w:t xml:space="preserve">1.4  Data Retention &amp; Deletion</w:t>
      </w:r>
    </w:p>
    <w:p>
      <w:pPr>
        <w:pStyle w:val="ListParagraph"/>
        <w:numPr>
          <w:ilvl w:val="0"/>
          <w:numId w:val="2"/>
        </w:numPr>
        <w:spacing w:after="60"/>
      </w:pPr>
      <w:r>
        <w:t xml:space="preserve">Active service: data retained while a trial, rental, or subscription is active.</w:t>
      </w:r>
    </w:p>
    <w:p>
      <w:pPr>
        <w:pStyle w:val="ListParagraph"/>
        <w:numPr>
          <w:ilvl w:val="0"/>
          <w:numId w:val="2"/>
        </w:numPr>
        <w:spacing w:after="60"/>
      </w:pPr>
      <w:r>
        <w:t xml:space="preserve">Monthly rental / trial return: personalization data — including photos, videos, and voice samples — wiped from the returned device as part of the reset process.</w:t>
      </w:r>
    </w:p>
    <w:p>
      <w:pPr>
        <w:pStyle w:val="ListParagraph"/>
        <w:numPr>
          <w:ilvl w:val="0"/>
          <w:numId w:val="2"/>
        </w:numPr>
        <w:spacing w:after="60"/>
      </w:pPr>
      <w:r>
        <w:t xml:space="preserve">Own It plan: on-device personalization remains unless the customer requests deletion or ends service.</w:t>
      </w:r>
    </w:p>
    <w:p>
      <w:pPr>
        <w:pStyle w:val="ListParagraph"/>
        <w:numPr>
          <w:ilvl w:val="0"/>
          <w:numId w:val="2"/>
        </w:numPr>
        <w:spacing w:after="60"/>
      </w:pPr>
      <w:r>
        <w:t>Cancellation: cloud/account personal data (biography and uploaded media) deleted or de-identified within 30 days; encrypted DR backups cycle out within an additional 30 days. Away Monitoring behavior clips are deleted automatically 7 days after capture regardless of subscription status, and caregivers can delete any clip — or all clips — on demand.</w:t>
      </w:r>
    </w:p>
    <w:p>
      <w:pPr>
        <w:spacing w:after="80" w:before="200"/>
      </w:pPr>
      <w:r>
        <w:rPr>
          <w:rFonts w:ascii="Arial" w:cs="Arial" w:eastAsia="Arial" w:hAnsi="Arial"/>
          <w:b/>
          <w:bCs/>
          <w:color w:val="1B3A61"/>
          <w:sz w:val="23"/>
          <w:szCs w:val="23"/>
        </w:rPr>
        <w:t xml:space="preserve">1.5  Your Rights &amp; Choices</w:t>
      </w:r>
    </w:p>
    <w:p>
      <w:pPr>
        <w:pStyle w:val="ListParagraph"/>
        <w:numPr>
          <w:ilvl w:val="0"/>
          <w:numId w:val="2"/>
        </w:numPr>
        <w:spacing w:after="60"/>
      </w:pPr>
      <w:r>
        <w:t xml:space="preserve">Access, review, and correct personal information; request deletion; export in a structured format (JSON/CSV where feasible).</w:t>
      </w:r>
    </w:p>
    <w:p>
      <w:pPr>
        <w:pStyle w:val="ListParagraph"/>
        <w:numPr>
          <w:ilvl w:val="0"/>
          <w:numId w:val="2"/>
        </w:numPr>
        <w:spacing w:after="60"/>
      </w:pPr>
      <w:r>
        <w:t xml:space="preserve">Withdraw consent for optional features, including voice personalization and face recognition; limit optional monitoring features.</w:t>
      </w:r>
    </w:p>
    <w:p>
      <w:pPr>
        <w:pBdr>
          <w:top w:val="single" w:color="B88A13" w:sz="6" w:space="4"/>
          <w:bottom w:val="single" w:color="B88A13" w:sz="6" w:space="4"/>
        </w:pBdr>
        <w:shd w:fill="EFE4CF" w:color="auto" w:val="clear"/>
        <w:spacing w:after="120" w:before="120"/>
      </w:pPr>
      <w:r>
        <w:rPr>
          <w:rFonts w:ascii="Arial" w:cs="Arial" w:eastAsia="Arial" w:hAnsi="Arial"/>
          <w:color w:val="1B3A61"/>
          <w:sz w:val="19"/>
          <w:szCs w:val="19"/>
        </w:rPr>
        <w:t xml:space="preserve">To make a request: support@eldercarerobotics.net  ·  (413) 296-LUKA (413-296-5852).</w:t>
      </w:r>
    </w:p>
    <w:p>
      <w:pPr>
        <w:spacing w:after="80" w:before="200"/>
      </w:pPr>
      <w:r>
        <w:rPr>
          <w:rFonts w:ascii="Arial" w:cs="Arial" w:eastAsia="Arial" w:hAnsi="Arial"/>
          <w:b/>
          <w:bCs/>
          <w:color w:val="1B3A61"/>
          <w:sz w:val="23"/>
          <w:szCs w:val="23"/>
        </w:rPr>
        <w:t xml:space="preserve">1.6  Caregiver Companion App — Remote Access Privacy &amp; Security</w:t>
      </w:r>
    </w:p>
    <w:p>
      <w:pPr>
        <w:spacing w:after="120"/>
      </w:pPr>
      <w:r>
        <w:rPr>
          <w:sz w:val="20"/>
          <w:szCs w:val="20"/>
        </w:rPr>
        <w:t xml:space="preserve">The Caregiver Companion App is the remote caregiver support component included with every Luka Bear. It provides authorized caregivers with remote reminder delivery, remote-initiated engagement activities, a live room view, spoken-message delivery, and Cognitive Guardian™ configuration.</w:t>
      </w:r>
    </w:p>
    <w:p>
      <w:pPr>
        <w:pStyle w:val="ListParagraph"/>
        <w:numPr>
          <w:ilvl w:val="0"/>
          <w:numId w:val="2"/>
        </w:numPr>
        <w:spacing w:after="60"/>
      </w:pPr>
      <w:r>
        <w:rPr>
          <w:b/>
          <w:bCs/>
        </w:rPr>
        <w:t xml:space="preserve">Invitation-only access </w:t>
      </w:r>
      <w:r>
        <w:t xml:space="preserve">— the app connects over a private, invitation-only mesh. There is no public web address and no open inbound ports; only devices explicitly authorized by the account holder or facility can connect.</w:t>
      </w:r>
    </w:p>
    <w:p>
      <w:pPr>
        <w:pStyle w:val="ListParagraph"/>
        <w:numPr>
          <w:ilvl w:val="0"/>
          <w:numId w:val="2"/>
        </w:numPr>
        <w:spacing w:after="60"/>
      </w:pPr>
      <w:r>
        <w:rPr>
          <w:b/>
          <w:bCs/>
        </w:rPr>
        <w:t xml:space="preserve">Private encrypted mesh </w:t>
      </w:r>
      <w:r>
        <w:t xml:space="preserve">— all Companion App traffic, including the live camera view, voice, and control, runs over a WireGuard® / Tailscale private encrypted mesh using ChaCha20-Poly1305 authenticated encryption and Curve25519 key exchange. The dashboard is served over HTTPS/TLS with a valid certificate.</w:t>
      </w:r>
    </w:p>
    <w:p>
      <w:pPr>
        <w:pStyle w:val="ListParagraph"/>
        <w:numPr>
          <w:ilvl w:val="0"/>
          <w:numId w:val="2"/>
        </w:numPr>
        <w:spacing w:after="60"/>
      </w:pPr>
      <w:r>
        <w:rPr>
          <w:b/>
          <w:bCs/>
        </w:rPr>
        <w:t xml:space="preserve">Live view only </w:t>
      </w:r>
      <w:r>
        <w:t>— the camera function provides a real-time view for caregiver check-in and the live view is not recorded or stored. Separately, Luka records short, motion-triggered video clips (no audio) — recorded only when a caregiver turns on the optional Away Monitoring feature (off by default) so activity can be reviewed while away; these clips are encrypted at rest (AES-256), stored in the U.S. (Amazon S3, us-east-2), access-controlled, and automatically deleted 7 days after capture. A tamper-evident Camera Access History log records who viewed the camera and when.</w:t>
      </w:r>
    </w:p>
    <w:p>
      <w:pPr>
        <w:pStyle w:val="ListParagraph"/>
        <w:numPr>
          <w:ilvl w:val="0"/>
          <w:numId w:val="2"/>
        </w:numPr>
        <w:spacing w:after="60"/>
      </w:pPr>
      <w:r>
        <w:rPr>
          <w:b/>
          <w:bCs/>
        </w:rPr>
        <w:t xml:space="preserve">Media &amp; voice storage </w:t>
      </w:r>
      <w:r>
        <w:t xml:space="preserve">— photos, video messages, and Family Voice Library samples uploaded through the app are stored in the U.S. (Amazon S3, us-east-2), encrypted at rest (AES-256), under the same access-control, retention, and BAA terms as all other resident data.</w:t>
      </w:r>
    </w:p>
    <w:p>
      <w:pPr>
        <w:pStyle w:val="ListParagraph"/>
        <w:numPr>
          <w:ilvl w:val="0"/>
          <w:numId w:val="2"/>
        </w:numPr>
        <w:spacing w:after="60"/>
      </w:pPr>
      <w:r>
        <w:rPr>
          <w:b/>
          <w:bCs/>
        </w:rPr>
        <w:t xml:space="preserve">Family Voice Library consent </w:t>
      </w:r>
      <w:r>
        <w:t xml:space="preserve">— voice samples are submitted with the consent of the person recorded and used solely to produce that authorized voice. Synthesis is performed by a U.S.-based enterprise subprocessor under contractual confidentiality, security, and BAA/DPA obligations; samples and generated voices are never resold or used for advertising.</w:t>
      </w:r>
    </w:p>
    <w:p>
      <w:pPr>
        <w:pStyle w:val="ListParagraph"/>
        <w:numPr>
          <w:ilvl w:val="0"/>
          <w:numId w:val="2"/>
        </w:numPr>
        <w:spacing w:after="60"/>
      </w:pPr>
      <w:r>
        <w:rPr>
          <w:b/>
          <w:bCs/>
        </w:rPr>
        <w:t xml:space="preserve">Facility Admin PIN </w:t>
      </w:r>
      <w:r>
        <w:t xml:space="preserve">— an optional 4–8 digit PIN restricts setup and care-configuration functions to authorized administrators; administrative and configuration actions are logged.</w:t>
      </w:r>
    </w:p>
    <w:p>
      <w:pPr>
        <w:pStyle w:val="ListParagraph"/>
        <w:numPr>
          <w:ilvl w:val="0"/>
          <w:numId w:val="2"/>
        </w:numPr>
        <w:spacing w:after="60"/>
      </w:pPr>
      <w:r>
        <w:rPr>
          <w:b/>
          <w:bCs/>
        </w:rPr>
        <w:t xml:space="preserve">Documented activity records </w:t>
      </w:r>
      <w:r>
        <w:t xml:space="preserve">— reminders delivered, engagement sessions initiated, and notification events produce activity records that support care coordination and reimbursement documentation, protected under the encryption, access-control, retention, and BAA terms in Sections 1–3.</w:t>
      </w:r>
    </w:p>
    <w:p>
      <w:r>
        <w:br w:type="page"/>
      </w:r>
    </w:p>
    <w:p>
      <w:r>
        <w:rPr>
          <w:rFonts w:ascii="Arial" w:hAnsi="Arial"/>
          <w:b/>
          <w:color w:val="1B3A61"/>
          <w:sz w:val="23"/>
        </w:rPr>
        <w:t>1.7  Camera Use in HCBS / Waiver Settings — Active Support, Not Surveillance</w:t>
      </w:r>
    </w:p>
    <w:p>
      <w:r>
        <w:rPr>
          <w:rFonts w:ascii="Arial" w:hAnsi="Arial"/>
          <w:sz w:val="20"/>
        </w:rPr>
        <w:t>Luka Bear provides active, on-demand remote support — not passive surveillance. In home- and community-based services (HCBS) and waiver settings, Luka is deployed only in the configuration each program’s rules require, including with all camera recording and automated detection fully disabled. Nothing is continuously recorded or monitored; any live view is initiated by an authorized caregiver, with the individual’s informed consent, and is recorded in a tamper-evident access log.</w:t>
      </w:r>
    </w:p>
    <w:p>
      <w:r>
        <w:rPr>
          <w:rFonts w:ascii="Arial" w:hAnsi="Arial"/>
          <w:sz w:val="20"/>
        </w:rPr>
        <w:t>Configurations available (set at deployment):</w:t>
      </w:r>
    </w:p>
    <w:p>
      <w:r>
        <w:rPr>
          <w:rFonts w:ascii="Arial" w:hAnsi="Arial"/>
          <w:sz w:val="20"/>
        </w:rPr>
        <w:t>•  Video-Free — the camera is fully disabled: no live view, video calls, motion detection, or recording.</w:t>
      </w:r>
    </w:p>
    <w:p>
      <w:r>
        <w:rPr>
          <w:rFonts w:ascii="Arial" w:hAnsi="Arial"/>
          <w:sz w:val="20"/>
        </w:rPr>
        <w:t>•  Consent-Video — on-demand live check-in and two-way video calls in a common area, with consent; no recording and no automated detection.</w:t>
      </w:r>
    </w:p>
    <w:p>
      <w:r>
        <w:rPr>
          <w:rFonts w:ascii="Arial" w:hAnsi="Arial"/>
          <w:sz w:val="20"/>
        </w:rPr>
        <w:t>•  Full — all camera features, including the optional, off-by-default motion clips described in Section 1.2 (private-pay).</w:t>
      </w:r>
    </w:p>
    <w:p>
      <w:r>
        <w:rPr>
          <w:rFonts w:ascii="Arial" w:hAnsi="Arial"/>
          <w:sz w:val="20"/>
        </w:rPr>
        <w:t>For waiver deployments, Luka is placed in a common area only — never a bedroom or bathroom; any live-video use is documented in the person-centered service plan with written informed consent from the individual and all co-residents; camera-based motion detection and clip recording are disabled; and overnight and event awareness is provided through non-camera, interaction/audio-based means. Luka remains a non-medical assistive device throughout (see Section 4).</w:t>
      </w:r>
    </w:p>
    <w:p>
      <w:pPr>
        <w:pBdr>
          <w:bottom w:val="single" w:color="B88A13" w:sz="18" w:space="2"/>
        </w:pBdr>
        <w:shd w:fill="1B3A61" w:color="auto" w:val="clear"/>
        <w:spacing w:after="0" w:before="260"/>
      </w:pPr>
      <w:r>
        <w:rPr>
          <w:rFonts w:ascii="Arial" w:cs="Arial" w:eastAsia="Arial" w:hAnsi="Arial"/>
          <w:b/>
          <w:bCs/>
          <w:color w:val="B88A13"/>
          <w:sz w:val="26"/>
          <w:szCs w:val="26"/>
        </w:rPr>
        <w:t xml:space="preserve">2   </w:t>
      </w:r>
      <w:r>
        <w:rPr>
          <w:rFonts w:ascii="Arial" w:cs="Arial" w:eastAsia="Arial" w:hAnsi="Arial"/>
          <w:b/>
          <w:bCs/>
          <w:color w:val="FFFFFF"/>
          <w:sz w:val="26"/>
          <w:szCs w:val="26"/>
        </w:rPr>
        <w:t xml:space="preserve">HIPAA &amp; Business Associate Agreement</w:t>
      </w:r>
    </w:p>
    <w:p>
      <w:pPr>
        <w:pBdr>
          <w:bottom w:val="single" w:color="B88A13" w:sz="18" w:space="2"/>
        </w:pBdr>
        <w:shd w:fill="1B3A61" w:color="auto" w:val="clear"/>
        <w:spacing w:after="120" w:before="0"/>
      </w:pPr>
      <w:r>
        <w:rPr>
          <w:rFonts w:ascii="Arial" w:cs="Arial" w:eastAsia="Arial" w:hAnsi="Arial"/>
          <w:i/>
          <w:iCs/>
          <w:color w:val="F7EFE1"/>
          <w:sz w:val="19"/>
          <w:szCs w:val="19"/>
        </w:rPr>
        <w:t xml:space="preserve">Ready-to-sign BAA template included — see Appendix C</w:t>
      </w:r>
    </w:p>
    <w:p>
      <w:pPr>
        <w:pBdr>
          <w:top w:val="single" w:color="B88A13" w:sz="6" w:space="4"/>
          <w:bottom w:val="single" w:color="B88A13" w:sz="6" w:space="4"/>
        </w:pBdr>
        <w:shd w:fill="EFE4CF" w:color="auto" w:val="clear"/>
        <w:spacing w:after="120" w:before="120"/>
      </w:pPr>
      <w:r>
        <w:rPr>
          <w:rFonts w:ascii="Arial" w:cs="Arial" w:eastAsia="Arial" w:hAnsi="Arial"/>
          <w:b/>
          <w:bCs/>
          <w:color w:val="1B3A61"/>
          <w:sz w:val="19"/>
          <w:szCs w:val="19"/>
        </w:rPr>
        <w:t xml:space="preserve">✓ The HIPAA BAA template has been drafted and reviewed. See Appendix C for the template, ready for your legal counsel to review and execute.</w:t>
      </w:r>
    </w:p>
    <w:p>
      <w:pPr>
        <w:spacing w:after="80" w:before="200"/>
      </w:pPr>
      <w:r>
        <w:rPr>
          <w:rFonts w:ascii="Arial" w:cs="Arial" w:eastAsia="Arial" w:hAnsi="Arial"/>
          <w:b/>
          <w:bCs/>
          <w:color w:val="1B3A61"/>
          <w:sz w:val="23"/>
          <w:szCs w:val="23"/>
        </w:rPr>
        <w:t xml:space="preserve">2.1  HIPAA Positioning</w:t>
      </w:r>
    </w:p>
    <w:p>
      <w:pPr>
        <w:pStyle w:val="ListParagraph"/>
        <w:numPr>
          <w:ilvl w:val="0"/>
          <w:numId w:val="2"/>
        </w:numPr>
        <w:spacing w:after="60"/>
      </w:pPr>
      <w:r>
        <w:t xml:space="preserve">Eldercare Robotics LLC operates as a Business Associate under HIPAA (45 CFR Part 164).</w:t>
      </w:r>
    </w:p>
    <w:p>
      <w:pPr>
        <w:pStyle w:val="ListParagraph"/>
        <w:numPr>
          <w:ilvl w:val="0"/>
          <w:numId w:val="2"/>
        </w:numPr>
        <w:spacing w:after="60"/>
      </w:pPr>
      <w:r>
        <w:t xml:space="preserve">A Business Associate Agreement (BAA) must be executed before any PHI is shared — template in Appendix C.</w:t>
      </w:r>
    </w:p>
    <w:p>
      <w:pPr>
        <w:pStyle w:val="ListParagraph"/>
        <w:numPr>
          <w:ilvl w:val="0"/>
          <w:numId w:val="2"/>
        </w:numPr>
        <w:spacing w:after="60"/>
      </w:pPr>
      <w:r>
        <w:t xml:space="preserve">Facilities may limit or disable optional data features via the caregiver portal.</w:t>
      </w:r>
    </w:p>
    <w:p>
      <w:pPr>
        <w:pStyle w:val="ListParagraph"/>
        <w:numPr>
          <w:ilvl w:val="0"/>
          <w:numId w:val="2"/>
        </w:numPr>
        <w:spacing w:after="60"/>
      </w:pPr>
      <w:r>
        <w:t xml:space="preserve">All access and administrative actions are logged for accountability.</w:t>
      </w:r>
    </w:p>
    <w:p>
      <w:pPr>
        <w:pStyle w:val="ListParagraph"/>
        <w:numPr>
          <w:ilvl w:val="0"/>
          <w:numId w:val="2"/>
        </w:numPr>
        <w:spacing w:after="60"/>
      </w:pPr>
      <w:r>
        <w:t xml:space="preserve">Luka Bear does not have direct access to Electronic Health Records (EHR).</w:t>
      </w:r>
    </w:p>
    <w:p>
      <w:pPr>
        <w:spacing w:after="80" w:before="200"/>
      </w:pPr>
      <w:r>
        <w:rPr>
          <w:rFonts w:ascii="Arial" w:cs="Arial" w:eastAsia="Arial" w:hAnsi="Arial"/>
          <w:b/>
          <w:bCs/>
          <w:color w:val="1B3A61"/>
          <w:sz w:val="23"/>
          <w:szCs w:val="23"/>
        </w:rPr>
        <w:t xml:space="preserve">2.2  BAA Key Terms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900"/>
        <w:gridCol w:w="6460"/>
      </w:tblGrid>
      <w:tr>
        <w:tc>
          <w:tcPr>
            <w:tcW w:type="dxa" w:w="29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bCs/>
                <w:color w:val="1B3A61"/>
                <w:sz w:val="19"/>
                <w:szCs w:val="19"/>
              </w:rPr>
              <w:t xml:space="preserve">Permitted Uses of PHI</w:t>
            </w:r>
          </w:p>
        </w:tc>
        <w:tc>
          <w:tcPr>
            <w:tcW w:type="dxa" w:w="64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Only to provide Luka Bear device and caregiver platform services, as required by law, or for proper management of services.</w:t>
            </w:r>
          </w:p>
        </w:tc>
      </w:tr>
      <w:tr>
        <w:tc>
          <w:tcPr>
            <w:tcW w:type="dxa" w:w="29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bCs/>
                <w:color w:val="1B3A61"/>
                <w:sz w:val="19"/>
                <w:szCs w:val="19"/>
              </w:rPr>
              <w:t xml:space="preserve">Prohibited Uses</w:t>
            </w:r>
          </w:p>
        </w:tc>
        <w:tc>
          <w:tcPr>
            <w:tcW w:type="dxa" w:w="64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No marketing use of PHI; no sale of PHI without authorization.</w:t>
            </w:r>
          </w:p>
        </w:tc>
      </w:tr>
      <w:tr>
        <w:tc>
          <w:tcPr>
            <w:tcW w:type="dxa" w:w="29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bCs/>
                <w:color w:val="1B3A61"/>
                <w:sz w:val="19"/>
                <w:szCs w:val="19"/>
              </w:rPr>
              <w:t xml:space="preserve">Safeguards</w:t>
            </w:r>
          </w:p>
        </w:tc>
        <w:tc>
          <w:tcPr>
            <w:tcW w:type="dxa" w:w="64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TLS 1.2+ in transit (WireGuard/Tailscale mesh for the app link); AES-256 at rest; RBAC; MFA; subcontractors bound by equivalent restrictions.</w:t>
            </w:r>
          </w:p>
        </w:tc>
      </w:tr>
      <w:tr>
        <w:tc>
          <w:tcPr>
            <w:tcW w:type="dxa" w:w="29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bCs/>
                <w:color w:val="1B3A61"/>
                <w:sz w:val="19"/>
                <w:szCs w:val="19"/>
              </w:rPr>
              <w:t xml:space="preserve">Subcontractors</w:t>
            </w:r>
          </w:p>
        </w:tc>
        <w:tc>
          <w:tcPr>
            <w:tcW w:type="dxa" w:w="64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Any subcontractor handling PHI — including the voice-synthesis subprocessor — is bound by equivalent restrictions via BAA/DPA flow-down.</w:t>
            </w:r>
          </w:p>
        </w:tc>
      </w:tr>
      <w:tr>
        <w:tc>
          <w:tcPr>
            <w:tcW w:type="dxa" w:w="29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bCs/>
                <w:color w:val="1B3A61"/>
                <w:sz w:val="19"/>
                <w:szCs w:val="19"/>
              </w:rPr>
              <w:t xml:space="preserve">Breach Notification</w:t>
            </w:r>
          </w:p>
        </w:tc>
        <w:tc>
          <w:tcPr>
            <w:tcW w:type="dxa" w:w="64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Business Associate notifies the Covered Entity without unreasonable delay and no later than 30 calendar days of discovery, with the information required under 45 CFR § 164.410, so the Covered Entity can meet its 60-day obligation.</w:t>
            </w:r>
          </w:p>
        </w:tc>
      </w:tr>
      <w:tr>
        <w:tc>
          <w:tcPr>
            <w:tcW w:type="dxa" w:w="29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bCs/>
                <w:color w:val="1B3A61"/>
                <w:sz w:val="19"/>
                <w:szCs w:val="19"/>
              </w:rPr>
              <w:t xml:space="preserve">Access &amp; Amendment</w:t>
            </w:r>
          </w:p>
        </w:tc>
        <w:tc>
          <w:tcPr>
            <w:tcW w:type="dxa" w:w="64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PHI access provided within reasonable time upon request; amendments incorporated; disclosures documented per 45 CFR § 164.528.</w:t>
            </w:r>
          </w:p>
        </w:tc>
      </w:tr>
      <w:tr>
        <w:tc>
          <w:tcPr>
            <w:tcW w:type="dxa" w:w="29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bCs/>
                <w:color w:val="1B3A61"/>
                <w:sz w:val="19"/>
                <w:szCs w:val="19"/>
              </w:rPr>
              <w:t xml:space="preserve">Termination</w:t>
            </w:r>
          </w:p>
        </w:tc>
        <w:tc>
          <w:tcPr>
            <w:tcW w:type="dxa" w:w="64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Either party may terminate for material breach uncured within 30 days of written notice.</w:t>
            </w:r>
          </w:p>
        </w:tc>
      </w:tr>
      <w:tr>
        <w:tc>
          <w:tcPr>
            <w:tcW w:type="dxa" w:w="29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bCs/>
                <w:color w:val="1B3A61"/>
                <w:sz w:val="19"/>
                <w:szCs w:val="19"/>
              </w:rPr>
              <w:t xml:space="preserve">Effect of Termination</w:t>
            </w:r>
          </w:p>
        </w:tc>
        <w:tc>
          <w:tcPr>
            <w:tcW w:type="dxa" w:w="64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PHI returned or destroyed upon termination; if not feasible, protections extend beyond termination.</w:t>
            </w:r>
          </w:p>
        </w:tc>
      </w:tr>
      <w:tr>
        <w:tc>
          <w:tcPr>
            <w:tcW w:type="dxa" w:w="29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bCs/>
                <w:color w:val="1B3A61"/>
                <w:sz w:val="19"/>
                <w:szCs w:val="19"/>
              </w:rPr>
              <w:t xml:space="preserve">Governing Law</w:t>
            </w:r>
          </w:p>
        </w:tc>
        <w:tc>
          <w:tcPr>
            <w:tcW w:type="dxa" w:w="64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State of Maryland.</w:t>
            </w:r>
          </w:p>
        </w:tc>
      </w:tr>
    </w:tbl>
    <w:p>
      <w:r>
        <w:br w:type="page"/>
      </w:r>
    </w:p>
    <w:p>
      <w:pPr>
        <w:pBdr>
          <w:bottom w:val="single" w:color="B88A13" w:sz="18" w:space="2"/>
        </w:pBdr>
        <w:shd w:fill="1B3A61" w:color="auto" w:val="clear"/>
        <w:spacing w:after="0" w:before="260"/>
      </w:pPr>
      <w:r>
        <w:rPr>
          <w:rFonts w:ascii="Arial" w:cs="Arial" w:eastAsia="Arial" w:hAnsi="Arial"/>
          <w:b/>
          <w:bCs/>
          <w:color w:val="B88A13"/>
          <w:sz w:val="26"/>
          <w:szCs w:val="26"/>
        </w:rPr>
        <w:t xml:space="preserve">3   </w:t>
      </w:r>
      <w:r>
        <w:rPr>
          <w:rFonts w:ascii="Arial" w:cs="Arial" w:eastAsia="Arial" w:hAnsi="Arial"/>
          <w:b/>
          <w:bCs/>
          <w:color w:val="FFFFFF"/>
          <w:sz w:val="26"/>
          <w:szCs w:val="26"/>
        </w:rPr>
        <w:t xml:space="preserve">Data Storage Architecture</w:t>
      </w:r>
    </w:p>
    <w:p>
      <w:pPr>
        <w:pBdr>
          <w:bottom w:val="single" w:color="B88A13" w:sz="18" w:space="2"/>
        </w:pBdr>
        <w:shd w:fill="1B3A61" w:color="auto" w:val="clear"/>
        <w:spacing w:after="120" w:before="0"/>
      </w:pPr>
      <w:r>
        <w:rPr>
          <w:rFonts w:ascii="Arial" w:cs="Arial" w:eastAsia="Arial" w:hAnsi="Arial"/>
          <w:i/>
          <w:iCs/>
          <w:color w:val="F7EFE1"/>
          <w:sz w:val="19"/>
          <w:szCs w:val="19"/>
        </w:rPr>
        <w:t xml:space="preserve">Where resident data lives — U.S.-based, encrypted, HIPAA-eligible</w:t>
      </w:r>
    </w:p>
    <w:p>
      <w:pPr>
        <w:pBdr>
          <w:top w:val="single" w:color="B88A13" w:sz="6" w:space="4"/>
          <w:bottom w:val="single" w:color="B88A13" w:sz="6" w:space="4"/>
        </w:pBdr>
        <w:shd w:fill="EFE4CF" w:color="auto" w:val="clear"/>
        <w:spacing w:after="120" w:before="120"/>
      </w:pPr>
      <w:r>
        <w:rPr>
          <w:rFonts w:ascii="Arial" w:cs="Arial" w:eastAsia="Arial" w:hAnsi="Arial"/>
          <w:color w:val="1B3A61"/>
          <w:sz w:val="19"/>
          <w:szCs w:val="19"/>
        </w:rPr>
        <w:t xml:space="preserve">All resident and caregiver data — biography, photos, video messages, and voice samples — is stored in the United States (Amazon S3, US East / Ohio, us-east-2). No data is stored or processed outside the United States.</w:t>
      </w:r>
    </w:p>
    <w:p>
      <w:pPr>
        <w:spacing w:after="80" w:before="200"/>
      </w:pPr>
      <w:r>
        <w:rPr>
          <w:rFonts w:ascii="Arial" w:cs="Arial" w:eastAsia="Arial" w:hAnsi="Arial"/>
          <w:b/>
          <w:bCs/>
          <w:color w:val="1B3A61"/>
          <w:sz w:val="23"/>
          <w:szCs w:val="23"/>
        </w:rPr>
        <w:t xml:space="preserve">3.1  Storage Structure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00"/>
        <w:gridCol w:w="4760"/>
        <w:gridCol w:w="1300"/>
      </w:tblGrid>
      <w:tr>
        <w:trPr>
          <w:tblHeader/>
        </w:trPr>
        <w:tc>
          <w:tcPr>
            <w:tcW w:type="dxa" w:w="3300"/>
            <w:tcBorders>
              <w:top w:val="single" w:color="CCCCCC" w:sz="1"/>
              <w:left w:val="single" w:color="CCCCCC" w:sz="1"/>
              <w:bottom w:val="single" w:color="CCCCCC" w:sz="1"/>
              <w:right w:val="single" w:color="CCCCCC" w:sz="1"/>
            </w:tcBorders>
            <w:shd w:fill="1B3A61" w:color="auto" w:val="clear"/>
            <w:tcMar>
              <w:top w:type="dxa" w:w="70"/>
              <w:left w:type="dxa" w:w="110"/>
              <w:bottom w:type="dxa" w:w="70"/>
              <w:right w:type="dxa" w:w="110"/>
            </w:tcMar>
          </w:tcPr>
          <w:p>
            <w:r>
              <w:rPr>
                <w:rFonts w:ascii="Arial" w:cs="Arial" w:eastAsia="Arial" w:hAnsi="Arial"/>
                <w:b/>
                <w:bCs/>
                <w:color w:val="FFFFFF"/>
                <w:sz w:val="19"/>
                <w:szCs w:val="19"/>
              </w:rPr>
              <w:t xml:space="preserve">Store</w:t>
            </w:r>
          </w:p>
        </w:tc>
        <w:tc>
          <w:tcPr>
            <w:tcW w:type="dxa" w:w="4760"/>
            <w:tcBorders>
              <w:top w:val="single" w:color="CCCCCC" w:sz="1"/>
              <w:left w:val="single" w:color="CCCCCC" w:sz="1"/>
              <w:bottom w:val="single" w:color="CCCCCC" w:sz="1"/>
              <w:right w:val="single" w:color="CCCCCC" w:sz="1"/>
            </w:tcBorders>
            <w:shd w:fill="1B3A61" w:color="auto" w:val="clear"/>
            <w:tcMar>
              <w:top w:type="dxa" w:w="70"/>
              <w:left w:type="dxa" w:w="110"/>
              <w:bottom w:type="dxa" w:w="70"/>
              <w:right w:type="dxa" w:w="110"/>
            </w:tcMar>
          </w:tcPr>
          <w:p>
            <w:r>
              <w:rPr>
                <w:rFonts w:ascii="Arial" w:cs="Arial" w:eastAsia="Arial" w:hAnsi="Arial"/>
                <w:b/>
                <w:bCs/>
                <w:color w:val="FFFFFF"/>
                <w:sz w:val="19"/>
                <w:szCs w:val="19"/>
              </w:rPr>
              <w:t xml:space="preserve">Purpose</w:t>
            </w:r>
          </w:p>
        </w:tc>
        <w:tc>
          <w:tcPr>
            <w:tcW w:type="dxa" w:w="1300"/>
            <w:tcBorders>
              <w:top w:val="single" w:color="CCCCCC" w:sz="1"/>
              <w:left w:val="single" w:color="CCCCCC" w:sz="1"/>
              <w:bottom w:val="single" w:color="CCCCCC" w:sz="1"/>
              <w:right w:val="single" w:color="CCCCCC" w:sz="1"/>
            </w:tcBorders>
            <w:shd w:fill="1B3A61" w:color="auto" w:val="clear"/>
            <w:tcMar>
              <w:top w:type="dxa" w:w="70"/>
              <w:left w:type="dxa" w:w="110"/>
              <w:bottom w:type="dxa" w:w="70"/>
              <w:right w:type="dxa" w:w="110"/>
            </w:tcMar>
          </w:tcPr>
          <w:p>
            <w:r>
              <w:rPr>
                <w:rFonts w:ascii="Arial" w:cs="Arial" w:eastAsia="Arial" w:hAnsi="Arial"/>
                <w:b/>
                <w:bCs/>
                <w:color w:val="FFFFFF"/>
                <w:sz w:val="19"/>
                <w:szCs w:val="19"/>
              </w:rPr>
              <w:t xml:space="preserve">Status</w:t>
            </w:r>
          </w:p>
        </w:tc>
      </w:tr>
      <w:tr>
        <w:tc>
          <w:tcPr>
            <w:tcW w:type="dxa" w:w="33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eldercare-biographies</w:t>
            </w:r>
          </w:p>
        </w:tc>
        <w:tc>
          <w:tcPr>
            <w:tcW w:type="dxa" w:w="47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Primary biography storage (active).</w:t>
            </w:r>
          </w:p>
        </w:tc>
        <w:tc>
          <w:tcPr>
            <w:tcW w:type="dxa" w:w="13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 Active</w:t>
            </w:r>
          </w:p>
        </w:tc>
      </w:tr>
      <w:tr>
        <w:tc>
          <w:tcPr>
            <w:tcW w:type="dxa" w:w="33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eldercare-biographies-archive-lock</w:t>
            </w:r>
          </w:p>
        </w:tc>
        <w:tc>
          <w:tcPr>
            <w:tcW w:type="dxa" w:w="47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Immutable long-term archive (WORM Object Lock) for audit/retention.</w:t>
            </w:r>
          </w:p>
        </w:tc>
        <w:tc>
          <w:tcPr>
            <w:tcW w:type="dxa" w:w="13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 Active</w:t>
            </w:r>
          </w:p>
        </w:tc>
      </w:tr>
      <w:tr>
        <w:tc>
          <w:tcPr>
            <w:tcW w:type="dxa" w:w="33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eldercare-biographies-logs / -logs-archive-lock</w:t>
            </w:r>
          </w:p>
        </w:tc>
        <w:tc>
          <w:tcPr>
            <w:tcW w:type="dxa" w:w="47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S3 access logs and their immutable, tamper-proof archive.</w:t>
            </w:r>
          </w:p>
        </w:tc>
        <w:tc>
          <w:tcPr>
            <w:tcW w:type="dxa" w:w="13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 Active</w:t>
            </w:r>
          </w:p>
        </w:tc>
      </w:tr>
      <w:tr>
        <w:tc>
          <w:tcPr>
            <w:tcW w:type="dxa" w:w="33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Caregiver media store (photos, video messages, voice samples)</w:t>
            </w:r>
          </w:p>
        </w:tc>
        <w:tc>
          <w:tcPr>
            <w:tcW w:type="dxa" w:w="47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Private, encrypted storage for app-uploaded media; per-resident; AES-256 at rest; access-controlled.</w:t>
            </w:r>
          </w:p>
        </w:tc>
        <w:tc>
          <w:tcPr>
            <w:tcW w:type="dxa" w:w="13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 Active</w:t>
            </w:r>
          </w:p>
        </w:tc>
      </w:tr>
      <w:tr>
        <w:tc>
          <w:tcPr>
            <w:tcW w:type="dxa" w:w="33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Companion App live camera view</w:t>
            </w:r>
          </w:p>
        </w:tc>
        <w:tc>
          <w:tcPr>
            <w:tcW w:type="dxa" w:w="47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t>Live view is real-time only — streamed over the private mesh to authorized devices; the live view is not recorded or stored.</w:t>
            </w:r>
          </w:p>
        </w:tc>
        <w:tc>
          <w:tcPr>
            <w:tcW w:type="dxa" w:w="13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Not stored</w:t>
            </w:r>
          </w:p>
        </w:tc>
      </w:tr>
      <w:tr>
        <w:tc>
          <w:tcPr>
            <w:tcW w:type="dxa" w:w="3300"/>
          </w:tcPr>
          <w:p>
            <w:r>
              <w:t>Away Monitoring behavior clips (optional)</w:t>
            </w:r>
          </w:p>
        </w:tc>
        <w:tc>
          <w:tcPr>
            <w:tcW w:type="dxa" w:w="4760"/>
          </w:tcPr>
          <w:p>
            <w:r>
              <w:t>Short motion-triggered clips (no audio), recorded only when the caregiver enables Away Monitoring (off by default); AES-256 at rest; U.S. (S3 us-east-2); access-controlled; auto-deleted 7 days after capture.</w:t>
            </w:r>
          </w:p>
        </w:tc>
        <w:tc>
          <w:tcPr>
            <w:tcW w:type="dxa" w:w="1300"/>
          </w:tcPr>
          <w:p>
            <w:r>
              <w:t>✓ Optional / off by default</w:t>
            </w:r>
          </w:p>
        </w:tc>
      </w:tr>
    </w:tbl>
    <w:p>
      <w:pPr>
        <w:spacing w:after="80" w:before="200"/>
      </w:pPr>
      <w:r>
        <w:rPr>
          <w:rFonts w:ascii="Arial" w:cs="Arial" w:eastAsia="Arial" w:hAnsi="Arial"/>
          <w:b/>
          <w:bCs/>
          <w:color w:val="1B3A61"/>
          <w:sz w:val="23"/>
          <w:szCs w:val="23"/>
        </w:rPr>
        <w:t xml:space="preserve">3.2  Security Controls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900"/>
        <w:gridCol w:w="6460"/>
      </w:tblGrid>
      <w:tr>
        <w:tc>
          <w:tcPr>
            <w:tcW w:type="dxa" w:w="29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bCs/>
                <w:color w:val="1B3A61"/>
                <w:sz w:val="19"/>
                <w:szCs w:val="19"/>
              </w:rPr>
              <w:t xml:space="preserve">Region</w:t>
            </w:r>
          </w:p>
        </w:tc>
        <w:tc>
          <w:tcPr>
            <w:tcW w:type="dxa" w:w="64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US East (Ohio) — us-east-2. All data remains within the United States.</w:t>
            </w:r>
          </w:p>
        </w:tc>
      </w:tr>
      <w:tr>
        <w:tc>
          <w:tcPr>
            <w:tcW w:type="dxa" w:w="29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bCs/>
                <w:color w:val="1B3A61"/>
                <w:sz w:val="19"/>
                <w:szCs w:val="19"/>
              </w:rPr>
              <w:t xml:space="preserve">Encryption at Rest</w:t>
            </w:r>
          </w:p>
        </w:tc>
        <w:tc>
          <w:tcPr>
            <w:tcW w:type="dxa" w:w="64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AES-256 (S3 server-side encryption, SSE-S3 / SSE-KMS) for biography and uploaded media.</w:t>
            </w:r>
          </w:p>
        </w:tc>
      </w:tr>
      <w:tr>
        <w:tc>
          <w:tcPr>
            <w:tcW w:type="dxa" w:w="29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bCs/>
                <w:color w:val="1B3A61"/>
                <w:sz w:val="19"/>
                <w:szCs w:val="19"/>
              </w:rPr>
              <w:t xml:space="preserve">Encryption in Transit</w:t>
            </w:r>
          </w:p>
        </w:tc>
        <w:tc>
          <w:tcPr>
            <w:tcW w:type="dxa" w:w="64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TLS 1.2+ on all S3/cloud API calls; WireGuard/Tailscale private mesh (ChaCha20-Poly1305, Curve25519) for the device↔app link.</w:t>
            </w:r>
          </w:p>
        </w:tc>
      </w:tr>
      <w:tr>
        <w:tc>
          <w:tcPr>
            <w:tcW w:type="dxa" w:w="29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bCs/>
                <w:color w:val="1B3A61"/>
                <w:sz w:val="19"/>
                <w:szCs w:val="19"/>
              </w:rPr>
              <w:t xml:space="preserve">Access Control</w:t>
            </w:r>
          </w:p>
        </w:tc>
        <w:tc>
          <w:tcPr>
            <w:tcW w:type="dxa" w:w="64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IAM role-based access. Primary buckets are private — no public access.</w:t>
            </w:r>
          </w:p>
        </w:tc>
      </w:tr>
      <w:tr>
        <w:tc>
          <w:tcPr>
            <w:tcW w:type="dxa" w:w="29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bCs/>
                <w:color w:val="1B3A61"/>
                <w:sz w:val="19"/>
                <w:szCs w:val="19"/>
              </w:rPr>
              <w:t xml:space="preserve">Immutable Archive</w:t>
            </w:r>
          </w:p>
        </w:tc>
        <w:tc>
          <w:tcPr>
            <w:tcW w:type="dxa" w:w="64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S3 Object Lock (WORM) prevents deletion or modification of archived biography data and access logs.</w:t>
            </w:r>
          </w:p>
        </w:tc>
      </w:tr>
      <w:tr>
        <w:tc>
          <w:tcPr>
            <w:tcW w:type="dxa" w:w="29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bCs/>
                <w:color w:val="1B3A61"/>
                <w:sz w:val="19"/>
                <w:szCs w:val="19"/>
              </w:rPr>
              <w:t xml:space="preserve">Subprocessors</w:t>
            </w:r>
          </w:p>
        </w:tc>
        <w:tc>
          <w:tcPr>
            <w:tcW w:type="dxa" w:w="64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Voice-synthesis subprocessor (U.S.-based) bound by BAA/DPA; no advertising use; no resale.</w:t>
            </w:r>
          </w:p>
        </w:tc>
      </w:tr>
      <w:tr>
        <w:tc>
          <w:tcPr>
            <w:tcW w:type="dxa" w:w="29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bCs/>
                <w:color w:val="1B3A61"/>
                <w:sz w:val="19"/>
                <w:szCs w:val="19"/>
              </w:rPr>
              <w:t xml:space="preserve">Data Not Sold</w:t>
            </w:r>
          </w:p>
        </w:tc>
        <w:tc>
          <w:tcPr>
            <w:tcW w:type="dxa" w:w="64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Never sold or shared with advertisers or third-party marketing services.</w:t>
            </w:r>
          </w:p>
        </w:tc>
      </w:tr>
    </w:tbl>
    <w:p>
      <w:r>
        <w:br w:type="page"/>
      </w:r>
    </w:p>
    <w:p>
      <w:pPr>
        <w:pBdr>
          <w:bottom w:val="single" w:color="B88A13" w:sz="18" w:space="2"/>
        </w:pBdr>
        <w:shd w:fill="1B3A61" w:color="auto" w:val="clear"/>
        <w:spacing w:after="0" w:before="260"/>
      </w:pPr>
      <w:r>
        <w:rPr>
          <w:rFonts w:ascii="Arial" w:cs="Arial" w:eastAsia="Arial" w:hAnsi="Arial"/>
          <w:b/>
          <w:bCs/>
          <w:color w:val="B88A13"/>
          <w:sz w:val="26"/>
          <w:szCs w:val="26"/>
        </w:rPr>
        <w:t xml:space="preserve">4   </w:t>
      </w:r>
      <w:r>
        <w:rPr>
          <w:rFonts w:ascii="Arial" w:cs="Arial" w:eastAsia="Arial" w:hAnsi="Arial"/>
          <w:b/>
          <w:bCs/>
          <w:color w:val="FFFFFF"/>
          <w:sz w:val="26"/>
          <w:szCs w:val="26"/>
        </w:rPr>
        <w:t xml:space="preserve">FDA Classification &amp; Regulatory Status</w:t>
      </w:r>
    </w:p>
    <w:p>
      <w:pPr>
        <w:pBdr>
          <w:bottom w:val="single" w:color="B88A13" w:sz="18" w:space="2"/>
        </w:pBdr>
        <w:shd w:fill="1B3A61" w:color="auto" w:val="clear"/>
        <w:spacing w:after="120" w:before="0"/>
      </w:pPr>
      <w:r>
        <w:rPr>
          <w:rFonts w:ascii="Arial" w:cs="Arial" w:eastAsia="Arial" w:hAnsi="Arial"/>
          <w:i/>
          <w:iCs/>
          <w:color w:val="F7EFE1"/>
          <w:sz w:val="19"/>
          <w:szCs w:val="19"/>
        </w:rPr>
        <w:t xml:space="preserve">Non-medical assistive device — not subject to FDA device regulation</w:t>
      </w:r>
    </w:p>
    <w:p>
      <w:pPr>
        <w:pBdr>
          <w:top w:val="single" w:color="B88A13" w:sz="6" w:space="4"/>
          <w:bottom w:val="single" w:color="B88A13" w:sz="6" w:space="4"/>
        </w:pBdr>
        <w:shd w:fill="EFE4CF" w:color="auto" w:val="clear"/>
        <w:spacing w:after="120" w:before="120"/>
      </w:pPr>
      <w:r>
        <w:rPr>
          <w:rFonts w:ascii="Arial" w:cs="Arial" w:eastAsia="Arial" w:hAnsi="Arial"/>
          <w:b/>
          <w:bCs/>
          <w:color w:val="1B3A61"/>
          <w:sz w:val="19"/>
          <w:szCs w:val="19"/>
        </w:rPr>
        <w:t xml:space="preserve">✓ FDA Non-Medical Device Self-Declaration — signed by Eduard Takhunts, Founder &amp; CEO (revised text, June 19, 2026). See Appendix B.</w:t>
      </w:r>
    </w:p>
    <w:p>
      <w:pPr>
        <w:spacing w:after="80" w:before="200"/>
      </w:pPr>
      <w:r>
        <w:rPr>
          <w:rFonts w:ascii="Arial" w:cs="Arial" w:eastAsia="Arial" w:hAnsi="Arial"/>
          <w:b/>
          <w:bCs/>
          <w:color w:val="1B3A61"/>
          <w:sz w:val="23"/>
          <w:szCs w:val="23"/>
        </w:rPr>
        <w:t xml:space="preserve">4.1  Device Classification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900"/>
        <w:gridCol w:w="6460"/>
      </w:tblGrid>
      <w:tr>
        <w:tc>
          <w:tcPr>
            <w:tcW w:type="dxa" w:w="29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bCs/>
                <w:color w:val="1B3A61"/>
                <w:sz w:val="19"/>
                <w:szCs w:val="19"/>
              </w:rPr>
              <w:t xml:space="preserve">Product Name</w:t>
            </w:r>
          </w:p>
        </w:tc>
        <w:tc>
          <w:tcPr>
            <w:tcW w:type="dxa" w:w="64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Luka Bear — Interactive Eldercare Companion</w:t>
            </w:r>
          </w:p>
        </w:tc>
      </w:tr>
      <w:tr>
        <w:tc>
          <w:tcPr>
            <w:tcW w:type="dxa" w:w="29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bCs/>
                <w:color w:val="1B3A61"/>
                <w:sz w:val="19"/>
                <w:szCs w:val="19"/>
              </w:rPr>
              <w:t xml:space="preserve">Device Type</w:t>
            </w:r>
          </w:p>
        </w:tc>
        <w:tc>
          <w:tcPr>
            <w:tcW w:type="dxa" w:w="64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Non-medical, AI-powered functional Assistive Technology device (supports ADLs, IADLs, and health-related tasks per CMS guidance).</w:t>
            </w:r>
          </w:p>
        </w:tc>
      </w:tr>
      <w:tr>
        <w:tc>
          <w:tcPr>
            <w:tcW w:type="dxa" w:w="29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bCs/>
                <w:color w:val="1B3A61"/>
                <w:sz w:val="19"/>
                <w:szCs w:val="19"/>
              </w:rPr>
              <w:t xml:space="preserve">Intended Use</w:t>
            </w:r>
          </w:p>
        </w:tc>
        <w:tc>
          <w:tcPr>
            <w:tcW w:type="dxa" w:w="64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Functional support for ADLs, IADLs, and health-related tasks — medication and appointment reminders, orientation, family and care-team communication, cognitive engagement, calming routines, and caregiver-configured notification.</w:t>
            </w:r>
          </w:p>
        </w:tc>
      </w:tr>
      <w:tr>
        <w:tc>
          <w:tcPr>
            <w:tcW w:type="dxa" w:w="29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bCs/>
                <w:color w:val="1B3A61"/>
                <w:sz w:val="19"/>
                <w:szCs w:val="19"/>
              </w:rPr>
              <w:t xml:space="preserve">NOT Intended For</w:t>
            </w:r>
          </w:p>
        </w:tc>
        <w:tc>
          <w:tcPr>
            <w:tcW w:type="dxa" w:w="64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Medical diagnosis, treatment, emergency response, fall prevention or detection, clinical monitoring, or life support.</w:t>
            </w:r>
          </w:p>
        </w:tc>
      </w:tr>
      <w:tr>
        <w:tc>
          <w:tcPr>
            <w:tcW w:type="dxa" w:w="29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bCs/>
                <w:color w:val="1B3A61"/>
                <w:sz w:val="19"/>
                <w:szCs w:val="19"/>
              </w:rPr>
              <w:t xml:space="preserve">FDA Classification</w:t>
            </w:r>
          </w:p>
        </w:tc>
        <w:tc>
          <w:tcPr>
            <w:tcW w:type="dxa" w:w="64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Non-medical — does not meet the definition of a device under 21 U.S.C. § 321(h).</w:t>
            </w:r>
          </w:p>
        </w:tc>
      </w:tr>
      <w:tr>
        <w:tc>
          <w:tcPr>
            <w:tcW w:type="dxa" w:w="29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bCs/>
                <w:color w:val="1B3A61"/>
                <w:sz w:val="19"/>
                <w:szCs w:val="19"/>
              </w:rPr>
              <w:t xml:space="preserve">Applicable FDA Guidance</w:t>
            </w:r>
          </w:p>
        </w:tc>
        <w:tc>
          <w:tcPr>
            <w:tcW w:type="dxa" w:w="64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FDA General Wellness Policy for Low Risk Devices (July 2016).</w:t>
            </w:r>
          </w:p>
        </w:tc>
      </w:tr>
      <w:tr>
        <w:tc>
          <w:tcPr>
            <w:tcW w:type="dxa" w:w="29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bCs/>
                <w:color w:val="1B3A61"/>
                <w:sz w:val="19"/>
                <w:szCs w:val="19"/>
              </w:rPr>
              <w:t xml:space="preserve">Applicable Law</w:t>
            </w:r>
          </w:p>
        </w:tc>
        <w:tc>
          <w:tcPr>
            <w:tcW w:type="dxa" w:w="64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Assistive Technology Act of 2004 (29 U.S.C. § 3002).</w:t>
            </w:r>
          </w:p>
        </w:tc>
      </w:tr>
      <w:tr>
        <w:tc>
          <w:tcPr>
            <w:tcW w:type="dxa" w:w="29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bCs/>
                <w:color w:val="1B3A61"/>
                <w:sz w:val="19"/>
                <w:szCs w:val="19"/>
              </w:rPr>
              <w:t xml:space="preserve">Power Classification</w:t>
            </w:r>
          </w:p>
        </w:tc>
        <w:tc>
          <w:tcPr>
            <w:tcW w:type="dxa" w:w="64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Class III equipment — low voltage (≤12V DC), no AC mains during normal operation (IEC 62368-1).</w:t>
            </w:r>
          </w:p>
        </w:tc>
      </w:tr>
      <w:tr>
        <w:tc>
          <w:tcPr>
            <w:tcW w:type="dxa" w:w="29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bCs/>
                <w:color w:val="1B3A61"/>
                <w:sz w:val="19"/>
                <w:szCs w:val="19"/>
              </w:rPr>
              <w:t xml:space="preserve">Facility Permit Required</w:t>
            </w:r>
          </w:p>
        </w:tc>
        <w:tc>
          <w:tcPr>
            <w:tcW w:type="dxa" w:w="64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No medical device facility permit required for daily supervised resident interaction.</w:t>
            </w:r>
          </w:p>
        </w:tc>
      </w:tr>
      <w:tr>
        <w:tc>
          <w:tcPr>
            <w:tcW w:type="dxa" w:w="29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bCs/>
                <w:color w:val="1B3A61"/>
                <w:sz w:val="19"/>
                <w:szCs w:val="19"/>
              </w:rPr>
              <w:t xml:space="preserve">Self-Declaration Status</w:t>
            </w:r>
          </w:p>
        </w:tc>
        <w:tc>
          <w:tcPr>
            <w:tcW w:type="dxa" w:w="64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 Signed on revised text (June 19, 2026). Full text in Appendix B.</w:t>
            </w:r>
          </w:p>
        </w:tc>
      </w:tr>
    </w:tbl>
    <w:p>
      <w:pPr>
        <w:spacing w:after="80" w:before="200"/>
      </w:pPr>
      <w:r>
        <w:rPr>
          <w:rFonts w:ascii="Arial" w:cs="Arial" w:eastAsia="Arial" w:hAnsi="Arial"/>
          <w:b/>
          <w:bCs/>
          <w:color w:val="1B3A61"/>
          <w:sz w:val="23"/>
          <w:szCs w:val="23"/>
        </w:rPr>
        <w:t xml:space="preserve">4.2  Why Luka Bear Is Not a Medical Device</w:t>
      </w:r>
    </w:p>
    <w:p>
      <w:pPr>
        <w:pStyle w:val="ListParagraph"/>
        <w:numPr>
          <w:ilvl w:val="0"/>
          <w:numId w:val="2"/>
        </w:numPr>
        <w:spacing w:after="60"/>
      </w:pPr>
      <w:r>
        <w:t xml:space="preserve">Does not diagnose, cure, treat, mitigate, or prevent any disease or medical condition.</w:t>
      </w:r>
    </w:p>
    <w:p>
      <w:pPr>
        <w:pStyle w:val="ListParagraph"/>
        <w:numPr>
          <w:ilvl w:val="0"/>
          <w:numId w:val="2"/>
        </w:numPr>
        <w:spacing w:after="60"/>
      </w:pPr>
      <w:r>
        <w:t xml:space="preserve">Does not affect the structure or function of the body through pharmacological, immunological, or metabolic means.</w:t>
      </w:r>
    </w:p>
    <w:p>
      <w:pPr>
        <w:pStyle w:val="ListParagraph"/>
        <w:numPr>
          <w:ilvl w:val="0"/>
          <w:numId w:val="2"/>
        </w:numPr>
        <w:spacing w:after="60"/>
      </w:pPr>
      <w:r>
        <w:t xml:space="preserve">Does not replace or modify medical judgment or clinical decision-making.</w:t>
      </w:r>
    </w:p>
    <w:p>
      <w:pPr>
        <w:pStyle w:val="ListParagraph"/>
        <w:numPr>
          <w:ilvl w:val="0"/>
          <w:numId w:val="2"/>
        </w:numPr>
        <w:spacing w:after="60"/>
      </w:pPr>
      <w:r>
        <w:t xml:space="preserve">Does not provide life support, emergency response, or fall prevention/detection functions; caregiver notification is informational only and does not replace 911.</w:t>
      </w:r>
    </w:p>
    <w:p>
      <w:pPr>
        <w:pStyle w:val="ListParagraph"/>
        <w:numPr>
          <w:ilvl w:val="0"/>
          <w:numId w:val="2"/>
        </w:numPr>
        <w:spacing w:after="60"/>
      </w:pPr>
      <w:r>
        <w:t xml:space="preserve">Has no direct EHR integration or clinical monitoring capabilities.</w:t>
      </w:r>
    </w:p>
    <w:p>
      <w:r>
        <w:br w:type="page"/>
      </w:r>
    </w:p>
    <w:p>
      <w:pPr>
        <w:pBdr>
          <w:bottom w:val="single" w:color="B88A13" w:sz="18" w:space="2"/>
        </w:pBdr>
        <w:shd w:fill="1B3A61" w:color="auto" w:val="clear"/>
        <w:spacing w:after="0" w:before="260"/>
      </w:pPr>
      <w:r>
        <w:rPr>
          <w:rFonts w:ascii="Arial" w:cs="Arial" w:eastAsia="Arial" w:hAnsi="Arial"/>
          <w:b/>
          <w:bCs/>
          <w:color w:val="B88A13"/>
          <w:sz w:val="26"/>
          <w:szCs w:val="26"/>
        </w:rPr>
        <w:t xml:space="preserve">5   </w:t>
      </w:r>
      <w:r>
        <w:rPr>
          <w:rFonts w:ascii="Arial" w:cs="Arial" w:eastAsia="Arial" w:hAnsi="Arial"/>
          <w:b/>
          <w:bCs/>
          <w:color w:val="FFFFFF"/>
          <w:sz w:val="26"/>
          <w:szCs w:val="26"/>
        </w:rPr>
        <w:t xml:space="preserve">Healthcare Program Compliance</w:t>
      </w:r>
    </w:p>
    <w:p>
      <w:pPr>
        <w:pBdr>
          <w:bottom w:val="single" w:color="B88A13" w:sz="18" w:space="2"/>
        </w:pBdr>
        <w:shd w:fill="1B3A61" w:color="auto" w:val="clear"/>
        <w:spacing w:after="120" w:before="0"/>
      </w:pPr>
      <w:r>
        <w:rPr>
          <w:rFonts w:ascii="Arial" w:cs="Arial" w:eastAsia="Arial" w:hAnsi="Arial"/>
          <w:i/>
          <w:iCs/>
          <w:color w:val="F7EFE1"/>
          <w:sz w:val="19"/>
          <w:szCs w:val="19"/>
        </w:rPr>
        <w:t xml:space="preserve">How the non-medical classification fits common funding pathways</w:t>
      </w:r>
    </w:p>
    <w:p>
      <w:pPr>
        <w:pBdr>
          <w:top w:val="single" w:color="B88A13" w:sz="6" w:space="4"/>
          <w:bottom w:val="single" w:color="B88A13" w:sz="6" w:space="4"/>
        </w:pBdr>
        <w:shd w:fill="EFE4CF" w:color="auto" w:val="clear"/>
        <w:spacing w:after="120" w:before="120"/>
      </w:pPr>
      <w:r>
        <w:rPr>
          <w:rFonts w:ascii="Arial" w:cs="Arial" w:eastAsia="Arial" w:hAnsi="Arial"/>
          <w:color w:val="1B3A61"/>
          <w:sz w:val="19"/>
          <w:szCs w:val="19"/>
        </w:rPr>
        <w:t xml:space="preserve">The following reflects the compliance basis and potential eligibility of Luka Bear’s non-medical classification for each pathway. It does not represent confirmed enrollment, coverage approval, or a guarantee of payment — each depends on the program’s own authorization process.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6660"/>
      </w:tblGrid>
      <w:tr>
        <w:trPr>
          <w:tblHeader/>
        </w:trPr>
        <w:tc>
          <w:tcPr>
            <w:tcW w:type="dxa" w:w="2700"/>
            <w:tcBorders>
              <w:top w:val="single" w:color="CCCCCC" w:sz="1"/>
              <w:left w:val="single" w:color="CCCCCC" w:sz="1"/>
              <w:bottom w:val="single" w:color="CCCCCC" w:sz="1"/>
              <w:right w:val="single" w:color="CCCCCC" w:sz="1"/>
            </w:tcBorders>
            <w:shd w:fill="1B3A61" w:color="auto" w:val="clear"/>
            <w:tcMar>
              <w:top w:type="dxa" w:w="70"/>
              <w:left w:type="dxa" w:w="110"/>
              <w:bottom w:type="dxa" w:w="70"/>
              <w:right w:type="dxa" w:w="110"/>
            </w:tcMar>
          </w:tcPr>
          <w:p>
            <w:r>
              <w:rPr>
                <w:rFonts w:ascii="Arial" w:cs="Arial" w:eastAsia="Arial" w:hAnsi="Arial"/>
                <w:b/>
                <w:bCs/>
                <w:color w:val="FFFFFF"/>
                <w:sz w:val="19"/>
                <w:szCs w:val="19"/>
              </w:rPr>
              <w:t xml:space="preserve">Program</w:t>
            </w:r>
          </w:p>
        </w:tc>
        <w:tc>
          <w:tcPr>
            <w:tcW w:type="dxa" w:w="6660"/>
            <w:tcBorders>
              <w:top w:val="single" w:color="CCCCCC" w:sz="1"/>
              <w:left w:val="single" w:color="CCCCCC" w:sz="1"/>
              <w:bottom w:val="single" w:color="CCCCCC" w:sz="1"/>
              <w:right w:val="single" w:color="CCCCCC" w:sz="1"/>
            </w:tcBorders>
            <w:shd w:fill="1B3A61" w:color="auto" w:val="clear"/>
            <w:tcMar>
              <w:top w:type="dxa" w:w="70"/>
              <w:left w:type="dxa" w:w="110"/>
              <w:bottom w:type="dxa" w:w="70"/>
              <w:right w:type="dxa" w:w="110"/>
            </w:tcMar>
          </w:tcPr>
          <w:p>
            <w:r>
              <w:rPr>
                <w:rFonts w:ascii="Arial" w:cs="Arial" w:eastAsia="Arial" w:hAnsi="Arial"/>
                <w:b/>
                <w:bCs/>
                <w:color w:val="FFFFFF"/>
                <w:sz w:val="19"/>
                <w:szCs w:val="19"/>
              </w:rPr>
              <w:t xml:space="preserve">Compliance Basis &amp; Notes</w:t>
            </w:r>
          </w:p>
        </w:tc>
      </w:tr>
      <w:tr>
        <w:tc>
          <w:tcPr>
            <w:tcW w:type="dxa" w:w="27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GUIDE Model (CMS Innovation)</w:t>
            </w:r>
          </w:p>
        </w:tc>
        <w:tc>
          <w:tcPr>
            <w:tcW w:type="dxa" w:w="66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Non-medical assistive device supporting respite-eligible caregiver support; potentially fits the model’s caregiver-support allowance. Physician Letter of Medical Necessity typically required.</w:t>
            </w:r>
          </w:p>
        </w:tc>
      </w:tr>
      <w:tr>
        <w:tc>
          <w:tcPr>
            <w:tcW w:type="dxa" w:w="27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PACE / LIFE Programs</w:t>
            </w:r>
          </w:p>
        </w:tc>
        <w:tc>
          <w:tcPr>
            <w:tcW w:type="dxa" w:w="66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Compatible with the capitated PACE benefit as a non-medical device; engaged with PACE organizations for demonstration.</w:t>
            </w:r>
          </w:p>
        </w:tc>
      </w:tr>
      <w:tr>
        <w:tc>
          <w:tcPr>
            <w:tcW w:type="dxa" w:w="27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VA PCAFC / Aid &amp; Attendance</w:t>
            </w:r>
          </w:p>
        </w:tc>
        <w:tc>
          <w:tcPr>
            <w:tcW w:type="dxa" w:w="66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Non-medical device purchasable with caregiver stipend or pension; no VA medical-device approval required.</w:t>
            </w:r>
          </w:p>
        </w:tc>
      </w:tr>
      <w:tr>
        <w:tc>
          <w:tcPr>
            <w:tcW w:type="dxa" w:w="27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Medicaid Self-Direction (1915(j)/(i))</w:t>
            </w:r>
          </w:p>
        </w:tc>
        <w:tc>
          <w:tcPr>
            <w:tcW w:type="dxa" w:w="66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Technology supplement within a participant-directed budget; eMMA registered (MD).</w:t>
            </w:r>
          </w:p>
        </w:tc>
      </w:tr>
      <w:tr>
        <w:tc>
          <w:tcPr>
            <w:tcW w:type="dxa" w:w="27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State AT Programs</w:t>
            </w:r>
          </w:p>
        </w:tc>
        <w:tc>
          <w:tcPr>
            <w:tcW w:type="dxa" w:w="66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Qualifies as assistive technology under the AT Act of 2004 (29 U.S.C. § 3002).</w:t>
            </w:r>
          </w:p>
        </w:tc>
      </w:tr>
      <w:tr>
        <w:tc>
          <w:tcPr>
            <w:tcW w:type="dxa" w:w="27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LTC Insurance (Alternate Plan of Care)</w:t>
            </w:r>
          </w:p>
        </w:tc>
        <w:tc>
          <w:tcPr>
            <w:tcW w:type="dxa" w:w="66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May qualify as an Alternate Plan of Care benefit under many LTC policies.</w:t>
            </w:r>
          </w:p>
        </w:tc>
      </w:tr>
      <w:tr>
        <w:tc>
          <w:tcPr>
            <w:tcW w:type="dxa" w:w="27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MCO In-Lieu-of-Services</w:t>
            </w:r>
          </w:p>
        </w:tc>
        <w:tc>
          <w:tcPr>
            <w:tcW w:type="dxa" w:w="66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May serve as an in-lieu-of-services benefit, subject to MCO approval.</w:t>
            </w:r>
          </w:p>
        </w:tc>
      </w:tr>
      <w:tr>
        <w:tc>
          <w:tcPr>
            <w:tcW w:type="dxa" w:w="27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HSA / FSA</w:t>
            </w:r>
          </w:p>
        </w:tc>
        <w:tc>
          <w:tcPr>
            <w:tcW w:type="dxa" w:w="66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May qualify as an eligible expense with a Letter of Medical Necessity (IRS Pub. 502).</w:t>
            </w:r>
          </w:p>
        </w:tc>
      </w:tr>
      <w:tr>
        <w:tc>
          <w:tcPr>
            <w:tcW w:type="dxa" w:w="27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Care Facilities (ALF / MC / SNF)</w:t>
            </w:r>
          </w:p>
        </w:tc>
        <w:tc>
          <w:tcPr>
            <w:tcW w:type="dxa" w:w="66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Safe for supervised daily resident interaction; no facility medical-device permit required.</w:t>
            </w:r>
          </w:p>
        </w:tc>
      </w:tr>
    </w:tbl>
    <w:p>
      <w:r>
        <w:br w:type="page"/>
      </w:r>
    </w:p>
    <w:p>
      <w:pPr>
        <w:pBdr>
          <w:bottom w:val="single" w:color="B88A13" w:sz="18" w:space="2"/>
        </w:pBdr>
        <w:shd w:fill="1B3A61" w:color="auto" w:val="clear"/>
        <w:spacing w:after="0" w:before="260"/>
      </w:pPr>
      <w:r>
        <w:rPr>
          <w:rFonts w:ascii="Arial" w:cs="Arial" w:eastAsia="Arial" w:hAnsi="Arial"/>
          <w:b/>
          <w:bCs/>
          <w:color w:val="B88A13"/>
          <w:sz w:val="26"/>
          <w:szCs w:val="26"/>
        </w:rPr>
        <w:t xml:space="preserve">6   </w:t>
      </w:r>
      <w:r>
        <w:rPr>
          <w:rFonts w:ascii="Arial" w:cs="Arial" w:eastAsia="Arial" w:hAnsi="Arial"/>
          <w:b/>
          <w:bCs/>
          <w:color w:val="FFFFFF"/>
          <w:sz w:val="26"/>
          <w:szCs w:val="26"/>
        </w:rPr>
        <w:t xml:space="preserve">Intellectual Property Portfolio</w:t>
      </w:r>
    </w:p>
    <w:p>
      <w:pPr>
        <w:pBdr>
          <w:bottom w:val="single" w:color="B88A13" w:sz="18" w:space="2"/>
        </w:pBdr>
        <w:shd w:fill="1B3A61" w:color="auto" w:val="clear"/>
        <w:spacing w:after="120" w:before="0"/>
      </w:pPr>
      <w:r>
        <w:rPr>
          <w:rFonts w:ascii="Arial" w:cs="Arial" w:eastAsia="Arial" w:hAnsi="Arial"/>
          <w:i/>
          <w:iCs/>
          <w:color w:val="F7EFE1"/>
          <w:sz w:val="19"/>
          <w:szCs w:val="19"/>
        </w:rPr>
        <w:t xml:space="preserve">Provisional patent filings</w:t>
      </w:r>
    </w:p>
    <w:p>
      <w:pPr>
        <w:pBdr>
          <w:top w:val="single" w:color="B88A13" w:sz="6" w:space="4"/>
          <w:bottom w:val="single" w:color="B88A13" w:sz="6" w:space="4"/>
        </w:pBdr>
        <w:shd w:fill="F6E4DE" w:color="auto" w:val="clear"/>
        <w:spacing w:after="120" w:before="120"/>
      </w:pPr>
      <w:r>
        <w:rPr>
          <w:rFonts w:ascii="Arial" w:cs="Arial" w:eastAsia="Arial" w:hAnsi="Arial"/>
          <w:b/>
          <w:bCs/>
          <w:color w:val="A8371F"/>
          <w:sz w:val="19"/>
          <w:szCs w:val="19"/>
        </w:rPr>
        <w:t>⚠ Action: Patents 2 and 3 must be converted to non-provisional (utility) applications by their August 2026 deadlines (Aug 10 and Aug 12, 2026) or priority lapses. Patent-counsel engagement is in progress. A consolidated provisional (64/095,240, filed July 4, 2026) now captures the full finalized system and is intended as the basis for a single non-provisional (utility) application claiming priority to the prior provisionals.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400"/>
        <w:gridCol w:w="4660"/>
        <w:gridCol w:w="1300"/>
      </w:tblGrid>
      <w:tr>
        <w:trPr>
          <w:tblHeader/>
        </w:trPr>
        <w:tc>
          <w:tcPr>
            <w:tcW w:type="dxa" w:w="3400"/>
            <w:tcBorders>
              <w:top w:val="single" w:color="CCCCCC" w:sz="1"/>
              <w:left w:val="single" w:color="CCCCCC" w:sz="1"/>
              <w:bottom w:val="single" w:color="CCCCCC" w:sz="1"/>
              <w:right w:val="single" w:color="CCCCCC" w:sz="1"/>
            </w:tcBorders>
            <w:shd w:fill="1B3A61" w:color="auto" w:val="clear"/>
            <w:tcMar>
              <w:top w:type="dxa" w:w="70"/>
              <w:left w:type="dxa" w:w="110"/>
              <w:bottom w:type="dxa" w:w="70"/>
              <w:right w:type="dxa" w:w="110"/>
            </w:tcMar>
          </w:tcPr>
          <w:p>
            <w:r>
              <w:rPr>
                <w:rFonts w:ascii="Arial" w:cs="Arial" w:eastAsia="Arial" w:hAnsi="Arial"/>
                <w:b/>
                <w:bCs/>
                <w:color w:val="FFFFFF"/>
                <w:sz w:val="19"/>
                <w:szCs w:val="19"/>
              </w:rPr>
              <w:t xml:space="preserve">Patent</w:t>
            </w:r>
          </w:p>
        </w:tc>
        <w:tc>
          <w:tcPr>
            <w:tcW w:type="dxa" w:w="4660"/>
            <w:tcBorders>
              <w:top w:val="single" w:color="CCCCCC" w:sz="1"/>
              <w:left w:val="single" w:color="CCCCCC" w:sz="1"/>
              <w:bottom w:val="single" w:color="CCCCCC" w:sz="1"/>
              <w:right w:val="single" w:color="CCCCCC" w:sz="1"/>
            </w:tcBorders>
            <w:shd w:fill="1B3A61" w:color="auto" w:val="clear"/>
            <w:tcMar>
              <w:top w:type="dxa" w:w="70"/>
              <w:left w:type="dxa" w:w="110"/>
              <w:bottom w:type="dxa" w:w="70"/>
              <w:right w:type="dxa" w:w="110"/>
            </w:tcMar>
          </w:tcPr>
          <w:p>
            <w:r>
              <w:rPr>
                <w:rFonts w:ascii="Arial" w:cs="Arial" w:eastAsia="Arial" w:hAnsi="Arial"/>
                <w:b/>
                <w:bCs/>
                <w:color w:val="FFFFFF"/>
                <w:sz w:val="19"/>
                <w:szCs w:val="19"/>
              </w:rPr>
              <w:t xml:space="preserve">Filing / Scope</w:t>
            </w:r>
          </w:p>
        </w:tc>
        <w:tc>
          <w:tcPr>
            <w:tcW w:type="dxa" w:w="1300"/>
            <w:tcBorders>
              <w:top w:val="single" w:color="CCCCCC" w:sz="1"/>
              <w:left w:val="single" w:color="CCCCCC" w:sz="1"/>
              <w:bottom w:val="single" w:color="CCCCCC" w:sz="1"/>
              <w:right w:val="single" w:color="CCCCCC" w:sz="1"/>
            </w:tcBorders>
            <w:shd w:fill="1B3A61" w:color="auto" w:val="clear"/>
            <w:tcMar>
              <w:top w:type="dxa" w:w="70"/>
              <w:left w:type="dxa" w:w="110"/>
              <w:bottom w:type="dxa" w:w="70"/>
              <w:right w:type="dxa" w:w="110"/>
            </w:tcMar>
          </w:tcPr>
          <w:p>
            <w:r>
              <w:rPr>
                <w:rFonts w:ascii="Arial" w:cs="Arial" w:eastAsia="Arial" w:hAnsi="Arial"/>
                <w:b/>
                <w:bCs/>
                <w:color w:val="FFFFFF"/>
                <w:sz w:val="19"/>
                <w:szCs w:val="19"/>
              </w:rPr>
              <w:t xml:space="preserve">Status</w:t>
            </w:r>
          </w:p>
        </w:tc>
      </w:tr>
      <w:tr>
        <w:tc>
          <w:tcPr>
            <w:tcW w:type="dxa" w:w="34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1 — Elderly/Alzheimer’s Adaptive Care (63/747,041)</w:t>
            </w:r>
          </w:p>
        </w:tc>
        <w:tc>
          <w:tcPr>
            <w:tcW w:type="dxa" w:w="46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Filed Jan 19, 2025.</w:t>
            </w:r>
          </w:p>
        </w:tc>
        <w:tc>
          <w:tcPr>
            <w:tcW w:type="dxa" w:w="13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Abandoned</w:t>
            </w:r>
          </w:p>
        </w:tc>
      </w:tr>
      <w:tr>
        <w:tc>
          <w:tcPr>
            <w:tcW w:type="dxa" w:w="34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2 — Multi-Resident Voice-Switching AI (63/861,258)</w:t>
            </w:r>
          </w:p>
        </w:tc>
        <w:tc>
          <w:tcPr>
            <w:tcW w:type="dxa" w:w="46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Filed Aug 10, 2025. Convert by Aug 10, 2026.</w:t>
            </w:r>
          </w:p>
        </w:tc>
        <w:tc>
          <w:tcPr>
            <w:tcW w:type="dxa" w:w="13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In Progress</w:t>
            </w:r>
          </w:p>
        </w:tc>
      </w:tr>
      <w:tr>
        <w:tc>
          <w:tcPr>
            <w:tcW w:type="dxa" w:w="34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3 — Multi-User AI Companion (63/862,603)</w:t>
            </w:r>
          </w:p>
        </w:tc>
        <w:tc>
          <w:tcPr>
            <w:tcW w:type="dxa" w:w="46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Filed Aug 12, 2025. Convert by Aug 12, 2026.</w:t>
            </w:r>
          </w:p>
        </w:tc>
        <w:tc>
          <w:tcPr>
            <w:tcW w:type="dxa" w:w="13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In Progress</w:t>
            </w:r>
          </w:p>
        </w:tc>
      </w:tr>
      <w:tr>
        <w:tc>
          <w:tcPr>
            <w:tcW w:type="dxa" w:w="34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4 — Wellness &amp; Cognitive Support (63/933,323)</w:t>
            </w:r>
          </w:p>
        </w:tc>
        <w:tc>
          <w:tcPr>
            <w:tcW w:type="dxa" w:w="46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Filed Dec 7, 2025.</w:t>
            </w:r>
          </w:p>
        </w:tc>
        <w:tc>
          <w:tcPr>
            <w:tcW w:type="dxa" w:w="13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 Active</w:t>
            </w:r>
          </w:p>
        </w:tc>
      </w:tr>
      <w:tr>
        <w:tc>
          <w:tcPr>
            <w:tcW w:type="dxa" w:w="34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5 — Caregiver Burden Measurement (63/944,330)</w:t>
            </w:r>
          </w:p>
        </w:tc>
        <w:tc>
          <w:tcPr>
            <w:tcW w:type="dxa" w:w="46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Filed Dec 18, 2025.</w:t>
            </w:r>
          </w:p>
        </w:tc>
        <w:tc>
          <w:tcPr>
            <w:tcW w:type="dxa" w:w="13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 Active</w:t>
            </w:r>
          </w:p>
        </w:tc>
      </w:tr>
      <w:tr>
        <w:tc>
          <w:tcPr>
            <w:tcW w:type="dxa" w:w="34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6 — Consolidated System Architecture (63/946,037)</w:t>
            </w:r>
          </w:p>
        </w:tc>
        <w:tc>
          <w:tcPr>
            <w:tcW w:type="dxa" w:w="46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Filed Dec 2025. Primary utility-conversion candidate.</w:t>
            </w:r>
          </w:p>
        </w:tc>
        <w:tc>
          <w:tcPr>
            <w:tcW w:type="dxa" w:w="13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 Active</w:t>
            </w:r>
          </w:p>
        </w:tc>
      </w:tr>
      <w:tr>
        <w:tc>
          <w:tcPr>
            <w:tcW w:type="dxa" w:w="34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7 — 24-Hour Cognitive Guardian (63/955,197)</w:t>
            </w:r>
          </w:p>
        </w:tc>
        <w:tc>
          <w:tcPr>
            <w:tcW w:type="dxa" w:w="46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Filed Jan 6, 2026. Conversion deadline Jan 2027.</w:t>
            </w:r>
          </w:p>
        </w:tc>
        <w:tc>
          <w:tcPr>
            <w:tcW w:type="dxa" w:w="13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 Active</w:t>
            </w:r>
          </w:p>
        </w:tc>
      </w:tr>
      <w:tr>
        <w:tc>
          <w:tcPr>
            <w:tcW w:type="dxa" w:w="34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8 — Consolidated Luka System (64/095,240)</w:t>
            </w:r>
          </w:p>
        </w:tc>
        <w:tc>
          <w:tcPr>
            <w:tcW w:type="dxa" w:w="46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Filed June 20, 2026 (Confirmation 4969). Omnibus provisional consolidating the full finalized system — multi-resident profiles, voice cloning, dynamic voice memory, multi-phase Cognitive Guardian, and the Caregiver App remote-presence layer. Intended basis for the non-provisional (utility) conversion; filing fee pending.</w:t>
            </w:r>
          </w:p>
        </w:tc>
        <w:tc>
          <w:tcPr>
            <w:tcW w:type="dxa" w:w="13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 Active</w:t>
            </w:r>
          </w:p>
        </w:tc>
      </w:tr>
    </w:tbl>
    <w:p>
      <w:r>
        <w:br w:type="page"/>
      </w:r>
    </w:p>
    <w:p>
      <w:pPr>
        <w:pBdr>
          <w:bottom w:val="single" w:color="B88A13" w:sz="18" w:space="2"/>
        </w:pBdr>
        <w:shd w:fill="1B3A61" w:color="auto" w:val="clear"/>
        <w:spacing w:after="0" w:before="260"/>
      </w:pPr>
      <w:r>
        <w:rPr>
          <w:rFonts w:ascii="Arial" w:cs="Arial" w:eastAsia="Arial" w:hAnsi="Arial"/>
          <w:b/>
          <w:bCs/>
          <w:color w:val="B88A13"/>
          <w:sz w:val="26"/>
          <w:szCs w:val="26"/>
        </w:rPr>
        <w:t xml:space="preserve">7   </w:t>
      </w:r>
      <w:r>
        <w:rPr>
          <w:rFonts w:ascii="Arial" w:cs="Arial" w:eastAsia="Arial" w:hAnsi="Arial"/>
          <w:b/>
          <w:bCs/>
          <w:color w:val="FFFFFF"/>
          <w:sz w:val="26"/>
          <w:szCs w:val="26"/>
        </w:rPr>
        <w:t xml:space="preserve">Compliance Status at a Glance</w:t>
      </w:r>
    </w:p>
    <w:p>
      <w:pPr>
        <w:pBdr>
          <w:bottom w:val="single" w:color="B88A13" w:sz="18" w:space="2"/>
        </w:pBdr>
        <w:shd w:fill="1B3A61" w:color="auto" w:val="clear"/>
        <w:spacing w:after="120" w:before="0"/>
      </w:pPr>
      <w:r>
        <w:rPr>
          <w:rFonts w:ascii="Arial" w:cs="Arial" w:eastAsia="Arial" w:hAnsi="Arial"/>
          <w:i/>
          <w:iCs/>
          <w:color w:val="F7EFE1"/>
          <w:sz w:val="19"/>
          <w:szCs w:val="19"/>
        </w:rPr>
        <w:t>Summary — Version 2.1, July 4, 2026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700"/>
        <w:gridCol w:w="4760"/>
        <w:gridCol w:w="900"/>
      </w:tblGrid>
      <w:tr>
        <w:trPr>
          <w:tblHeader/>
        </w:trPr>
        <w:tc>
          <w:tcPr>
            <w:tcW w:type="dxa" w:w="3700"/>
            <w:tcBorders>
              <w:top w:val="single" w:color="CCCCCC" w:sz="1"/>
              <w:left w:val="single" w:color="CCCCCC" w:sz="1"/>
              <w:bottom w:val="single" w:color="CCCCCC" w:sz="1"/>
              <w:right w:val="single" w:color="CCCCCC" w:sz="1"/>
            </w:tcBorders>
            <w:shd w:fill="1B3A61" w:color="auto" w:val="clear"/>
            <w:tcMar>
              <w:top w:type="dxa" w:w="70"/>
              <w:left w:type="dxa" w:w="110"/>
              <w:bottom w:type="dxa" w:w="70"/>
              <w:right w:type="dxa" w:w="110"/>
            </w:tcMar>
          </w:tcPr>
          <w:p>
            <w:r>
              <w:rPr>
                <w:rFonts w:ascii="Arial" w:cs="Arial" w:eastAsia="Arial" w:hAnsi="Arial"/>
                <w:b/>
                <w:bCs/>
                <w:color w:val="FFFFFF"/>
                <w:sz w:val="19"/>
                <w:szCs w:val="19"/>
              </w:rPr>
              <w:t xml:space="preserve">Component / Standard</w:t>
            </w:r>
          </w:p>
        </w:tc>
        <w:tc>
          <w:tcPr>
            <w:tcW w:type="dxa" w:w="4760"/>
            <w:tcBorders>
              <w:top w:val="single" w:color="CCCCCC" w:sz="1"/>
              <w:left w:val="single" w:color="CCCCCC" w:sz="1"/>
              <w:bottom w:val="single" w:color="CCCCCC" w:sz="1"/>
              <w:right w:val="single" w:color="CCCCCC" w:sz="1"/>
            </w:tcBorders>
            <w:shd w:fill="1B3A61" w:color="auto" w:val="clear"/>
            <w:tcMar>
              <w:top w:type="dxa" w:w="70"/>
              <w:left w:type="dxa" w:w="110"/>
              <w:bottom w:type="dxa" w:w="70"/>
              <w:right w:type="dxa" w:w="110"/>
            </w:tcMar>
          </w:tcPr>
          <w:p>
            <w:r>
              <w:rPr>
                <w:rFonts w:ascii="Arial" w:cs="Arial" w:eastAsia="Arial" w:hAnsi="Arial"/>
                <w:b/>
                <w:bCs/>
                <w:color w:val="FFFFFF"/>
                <w:sz w:val="19"/>
                <w:szCs w:val="19"/>
              </w:rPr>
              <w:t xml:space="preserve">Certification / ID</w:t>
            </w:r>
          </w:p>
        </w:tc>
        <w:tc>
          <w:tcPr>
            <w:tcW w:type="dxa" w:w="900"/>
            <w:tcBorders>
              <w:top w:val="single" w:color="CCCCCC" w:sz="1"/>
              <w:left w:val="single" w:color="CCCCCC" w:sz="1"/>
              <w:bottom w:val="single" w:color="CCCCCC" w:sz="1"/>
              <w:right w:val="single" w:color="CCCCCC" w:sz="1"/>
            </w:tcBorders>
            <w:shd w:fill="1B3A61" w:color="auto" w:val="clear"/>
            <w:tcMar>
              <w:top w:type="dxa" w:w="70"/>
              <w:left w:type="dxa" w:w="110"/>
              <w:bottom w:type="dxa" w:w="70"/>
              <w:right w:type="dxa" w:w="110"/>
            </w:tcMar>
          </w:tcPr>
          <w:p>
            <w:r>
              <w:rPr>
                <w:rFonts w:ascii="Arial" w:cs="Arial" w:eastAsia="Arial" w:hAnsi="Arial"/>
                <w:b/>
                <w:bCs/>
                <w:color w:val="FFFFFF"/>
                <w:sz w:val="19"/>
                <w:szCs w:val="19"/>
              </w:rPr>
              <w:t xml:space="preserve">Status</w:t>
            </w:r>
          </w:p>
        </w:tc>
      </w:tr>
      <w:tr>
        <w:tc>
          <w:tcPr>
            <w:tcW w:type="dxa" w:w="37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FCC Electromagnetic Compatibility</w:t>
            </w:r>
          </w:p>
        </w:tc>
        <w:tc>
          <w:tcPr>
            <w:tcW w:type="dxa" w:w="47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FCC Part 15 Class B — multiple IDs (see Section 10)</w:t>
            </w:r>
          </w:p>
        </w:tc>
        <w:tc>
          <w:tcPr>
            <w:tcW w:type="dxa" w:w="9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w:t>
            </w:r>
          </w:p>
        </w:tc>
      </w:tr>
      <w:tr>
        <w:tc>
          <w:tcPr>
            <w:tcW w:type="dxa" w:w="37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Electrical Safety</w:t>
            </w:r>
          </w:p>
        </w:tc>
        <w:tc>
          <w:tcPr>
            <w:tcW w:type="dxa" w:w="47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IEC 62368-1 (Class III) — component-level</w:t>
            </w:r>
          </w:p>
        </w:tc>
        <w:tc>
          <w:tcPr>
            <w:tcW w:type="dxa" w:w="9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w:t>
            </w:r>
          </w:p>
        </w:tc>
      </w:tr>
      <w:tr>
        <w:tc>
          <w:tcPr>
            <w:tcW w:type="dxa" w:w="37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Hazardous Materials</w:t>
            </w:r>
          </w:p>
        </w:tc>
        <w:tc>
          <w:tcPr>
            <w:tcW w:type="dxa" w:w="47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RoHS 2011/65/EU + 2015/863/EU — component-level</w:t>
            </w:r>
          </w:p>
        </w:tc>
        <w:tc>
          <w:tcPr>
            <w:tcW w:type="dxa" w:w="9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w:t>
            </w:r>
          </w:p>
        </w:tc>
      </w:tr>
      <w:tr>
        <w:tc>
          <w:tcPr>
            <w:tcW w:type="dxa" w:w="37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Textile Safety</w:t>
            </w:r>
          </w:p>
        </w:tc>
        <w:tc>
          <w:tcPr>
            <w:tcW w:type="dxa" w:w="47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OEKO-TEX Standard 100 — plush enclosure</w:t>
            </w:r>
          </w:p>
        </w:tc>
        <w:tc>
          <w:tcPr>
            <w:tcW w:type="dxa" w:w="9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w:t>
            </w:r>
          </w:p>
        </w:tc>
      </w:tr>
      <w:tr>
        <w:tc>
          <w:tcPr>
            <w:tcW w:type="dxa" w:w="37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Toy / Material Safety</w:t>
            </w:r>
          </w:p>
        </w:tc>
        <w:tc>
          <w:tcPr>
            <w:tcW w:type="dxa" w:w="47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EN 71-3 (Migration of Elements) — plush materials</w:t>
            </w:r>
          </w:p>
        </w:tc>
        <w:tc>
          <w:tcPr>
            <w:tcW w:type="dxa" w:w="9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w:t>
            </w:r>
          </w:p>
        </w:tc>
      </w:tr>
      <w:tr>
        <w:tc>
          <w:tcPr>
            <w:tcW w:type="dxa" w:w="37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EMC (CE)</w:t>
            </w:r>
          </w:p>
        </w:tc>
        <w:tc>
          <w:tcPr>
            <w:tcW w:type="dxa" w:w="47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EN 55032 / EN 55024 — Certificate TB190120863</w:t>
            </w:r>
          </w:p>
        </w:tc>
        <w:tc>
          <w:tcPr>
            <w:tcW w:type="dxa" w:w="9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w:t>
            </w:r>
          </w:p>
        </w:tc>
      </w:tr>
      <w:tr>
        <w:tc>
          <w:tcPr>
            <w:tcW w:type="dxa" w:w="37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CE RoHS</w:t>
            </w:r>
          </w:p>
        </w:tc>
        <w:tc>
          <w:tcPr>
            <w:tcW w:type="dxa" w:w="47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2011/65/EU, 2015/863/EU — Certificate TB190120895</w:t>
            </w:r>
          </w:p>
        </w:tc>
        <w:tc>
          <w:tcPr>
            <w:tcW w:type="dxa" w:w="9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w:t>
            </w:r>
          </w:p>
        </w:tc>
      </w:tr>
      <w:tr>
        <w:tc>
          <w:tcPr>
            <w:tcW w:type="dxa" w:w="37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Battery Safety (TalentCell SL3400)</w:t>
            </w:r>
          </w:p>
        </w:tc>
        <w:tc>
          <w:tcPr>
            <w:tcW w:type="dxa" w:w="47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CE + RoHS. UN38.3 not required for ground-only distribution; obtained before any air freight.</w:t>
            </w:r>
          </w:p>
        </w:tc>
        <w:tc>
          <w:tcPr>
            <w:tcW w:type="dxa" w:w="9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w:t>
            </w:r>
          </w:p>
        </w:tc>
      </w:tr>
      <w:tr>
        <w:tc>
          <w:tcPr>
            <w:tcW w:type="dxa" w:w="37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FDA Classification</w:t>
            </w:r>
          </w:p>
        </w:tc>
        <w:tc>
          <w:tcPr>
            <w:tcW w:type="dxa" w:w="47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Non-Medical Device Self-Declaration — signed (Appendix B)</w:t>
            </w:r>
          </w:p>
        </w:tc>
        <w:tc>
          <w:tcPr>
            <w:tcW w:type="dxa" w:w="9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w:t>
            </w:r>
          </w:p>
        </w:tc>
      </w:tr>
      <w:tr>
        <w:tc>
          <w:tcPr>
            <w:tcW w:type="dxa" w:w="37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HIPAA BAA Template</w:t>
            </w:r>
          </w:p>
        </w:tc>
        <w:tc>
          <w:tcPr>
            <w:tcW w:type="dxa" w:w="47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Business Associate Agreement — final (Appendix C)</w:t>
            </w:r>
          </w:p>
        </w:tc>
        <w:tc>
          <w:tcPr>
            <w:tcW w:type="dxa" w:w="9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w:t>
            </w:r>
          </w:p>
        </w:tc>
      </w:tr>
      <w:tr>
        <w:tc>
          <w:tcPr>
            <w:tcW w:type="dxa" w:w="37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eMMA Registration</w:t>
            </w:r>
          </w:p>
        </w:tc>
        <w:tc>
          <w:tcPr>
            <w:tcW w:type="dxa" w:w="47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eMaryland Marketplace Advantage — registered March 28, 2026</w:t>
            </w:r>
          </w:p>
        </w:tc>
        <w:tc>
          <w:tcPr>
            <w:tcW w:type="dxa" w:w="9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w:t>
            </w:r>
          </w:p>
        </w:tc>
      </w:tr>
    </w:tbl>
    <w:p>
      <w:r>
        <w:br w:type="page"/>
      </w:r>
    </w:p>
    <w:p>
      <w:pPr>
        <w:pBdr>
          <w:bottom w:val="single" w:color="B88A13" w:sz="18" w:space="2"/>
        </w:pBdr>
        <w:shd w:fill="1B3A61" w:color="auto" w:val="clear"/>
        <w:spacing w:after="0" w:before="260"/>
      </w:pPr>
      <w:r>
        <w:rPr>
          <w:rFonts w:ascii="Arial" w:cs="Arial" w:eastAsia="Arial" w:hAnsi="Arial"/>
          <w:b/>
          <w:bCs/>
          <w:color w:val="B88A13"/>
          <w:sz w:val="26"/>
          <w:szCs w:val="26"/>
        </w:rPr>
        <w:t xml:space="preserve">8   </w:t>
      </w:r>
      <w:r>
        <w:rPr>
          <w:rFonts w:ascii="Arial" w:cs="Arial" w:eastAsia="Arial" w:hAnsi="Arial"/>
          <w:b/>
          <w:bCs/>
          <w:color w:val="FFFFFF"/>
          <w:sz w:val="26"/>
          <w:szCs w:val="26"/>
        </w:rPr>
        <w:t xml:space="preserve">Device Classification &amp; Power Architecture</w:t>
      </w:r>
    </w:p>
    <w:p>
      <w:pPr>
        <w:pBdr>
          <w:bottom w:val="single" w:color="B88A13" w:sz="18" w:space="2"/>
        </w:pBdr>
        <w:shd w:fill="1B3A61" w:color="auto" w:val="clear"/>
        <w:spacing w:after="120" w:before="0"/>
      </w:pPr>
      <w:r>
        <w:rPr>
          <w:rFonts w:ascii="Arial" w:cs="Arial" w:eastAsia="Arial" w:hAnsi="Arial"/>
          <w:i/>
          <w:iCs/>
          <w:color w:val="F7EFE1"/>
          <w:sz w:val="19"/>
          <w:szCs w:val="19"/>
        </w:rPr>
        <w:t xml:space="preserve">Hardware Version 1.1 — January 2026</w:t>
      </w:r>
    </w:p>
    <w:p>
      <w:pPr>
        <w:spacing w:after="80" w:before="200"/>
      </w:pPr>
      <w:r>
        <w:rPr>
          <w:rFonts w:ascii="Arial" w:cs="Arial" w:eastAsia="Arial" w:hAnsi="Arial"/>
          <w:b/>
          <w:bCs/>
          <w:color w:val="1B3A61"/>
          <w:sz w:val="23"/>
          <w:szCs w:val="23"/>
        </w:rPr>
        <w:t xml:space="preserve">8.1  Device Specification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900"/>
        <w:gridCol w:w="6460"/>
      </w:tblGrid>
      <w:tr>
        <w:tc>
          <w:tcPr>
            <w:tcW w:type="dxa" w:w="29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bCs/>
                <w:color w:val="1B3A61"/>
                <w:sz w:val="19"/>
                <w:szCs w:val="19"/>
              </w:rPr>
              <w:t xml:space="preserve">Product Name</w:t>
            </w:r>
          </w:p>
        </w:tc>
        <w:tc>
          <w:tcPr>
            <w:tcW w:type="dxa" w:w="64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Luka Bear — Interactive Eldercare Companion</w:t>
            </w:r>
          </w:p>
        </w:tc>
      </w:tr>
      <w:tr>
        <w:tc>
          <w:tcPr>
            <w:tcW w:type="dxa" w:w="29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bCs/>
                <w:color w:val="1B3A61"/>
                <w:sz w:val="19"/>
                <w:szCs w:val="19"/>
              </w:rPr>
              <w:t xml:space="preserve">Manufacturer</w:t>
            </w:r>
          </w:p>
        </w:tc>
        <w:tc>
          <w:tcPr>
            <w:tcW w:type="dxa" w:w="64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Eldercare Robotics LLC, Rockville, Maryland, USA</w:t>
            </w:r>
          </w:p>
        </w:tc>
      </w:tr>
      <w:tr>
        <w:tc>
          <w:tcPr>
            <w:tcW w:type="dxa" w:w="29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bCs/>
                <w:color w:val="1B3A61"/>
                <w:sz w:val="19"/>
                <w:szCs w:val="19"/>
              </w:rPr>
              <w:t xml:space="preserve">Hardware Version</w:t>
            </w:r>
          </w:p>
        </w:tc>
        <w:tc>
          <w:tcPr>
            <w:tcW w:type="dxa" w:w="64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1.1 (January 2026)</w:t>
            </w:r>
          </w:p>
        </w:tc>
      </w:tr>
      <w:tr>
        <w:tc>
          <w:tcPr>
            <w:tcW w:type="dxa" w:w="29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bCs/>
                <w:color w:val="1B3A61"/>
                <w:sz w:val="19"/>
                <w:szCs w:val="19"/>
              </w:rPr>
              <w:t xml:space="preserve">Description</w:t>
            </w:r>
          </w:p>
        </w:tc>
        <w:tc>
          <w:tcPr>
            <w:tcW w:type="dxa" w:w="64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AI-powered conversational companion device with touchscreen display, camera, microphone, USB speakerphone, internal rechargeable battery (9,000 mAh), and plush bear enclosure.</w:t>
            </w:r>
          </w:p>
        </w:tc>
      </w:tr>
      <w:tr>
        <w:tc>
          <w:tcPr>
            <w:tcW w:type="dxa" w:w="29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bCs/>
                <w:color w:val="1B3A61"/>
                <w:sz w:val="19"/>
                <w:szCs w:val="19"/>
              </w:rPr>
              <w:t xml:space="preserve">Intended Use</w:t>
            </w:r>
          </w:p>
        </w:tc>
        <w:tc>
          <w:tcPr>
            <w:tcW w:type="dxa" w:w="64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Functional support for ADLs, IADLs, and health-related tasks — medication and appointment reminders, orientation, family and care-team communication, cognitive engagement, calming routines, and caregiver-configured notification.</w:t>
            </w:r>
          </w:p>
        </w:tc>
      </w:tr>
      <w:tr>
        <w:tc>
          <w:tcPr>
            <w:tcW w:type="dxa" w:w="29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bCs/>
                <w:color w:val="1B3A61"/>
                <w:sz w:val="19"/>
                <w:szCs w:val="19"/>
              </w:rPr>
              <w:t xml:space="preserve">Operating Environment</w:t>
            </w:r>
          </w:p>
        </w:tc>
        <w:tc>
          <w:tcPr>
            <w:tcW w:type="dxa" w:w="64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Home, assisted living, memory care, and similar settings under caregiver supervision.</w:t>
            </w:r>
          </w:p>
        </w:tc>
      </w:tr>
      <w:tr>
        <w:tc>
          <w:tcPr>
            <w:tcW w:type="dxa" w:w="29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bCs/>
                <w:color w:val="1B3A61"/>
                <w:sz w:val="19"/>
                <w:szCs w:val="19"/>
              </w:rPr>
              <w:t xml:space="preserve">Connectivity</w:t>
            </w:r>
          </w:p>
        </w:tc>
        <w:tc>
          <w:tcPr>
            <w:tcW w:type="dxa" w:w="64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Wi-Fi (local network); no direct EHR/medical-record integration.</w:t>
            </w:r>
          </w:p>
        </w:tc>
      </w:tr>
    </w:tbl>
    <w:p>
      <w:pPr>
        <w:spacing w:after="80" w:before="200"/>
      </w:pPr>
      <w:r>
        <w:rPr>
          <w:rFonts w:ascii="Arial" w:cs="Arial" w:eastAsia="Arial" w:hAnsi="Arial"/>
          <w:b/>
          <w:bCs/>
          <w:color w:val="1B3A61"/>
          <w:sz w:val="23"/>
          <w:szCs w:val="23"/>
        </w:rPr>
        <w:t xml:space="preserve">8.2  Power Architecture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900"/>
        <w:gridCol w:w="6460"/>
      </w:tblGrid>
      <w:tr>
        <w:tc>
          <w:tcPr>
            <w:tcW w:type="dxa" w:w="29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bCs/>
                <w:color w:val="1B3A61"/>
                <w:sz w:val="19"/>
                <w:szCs w:val="19"/>
              </w:rPr>
              <w:t xml:space="preserve">Power Source</w:t>
            </w:r>
          </w:p>
        </w:tc>
        <w:tc>
          <w:tcPr>
            <w:tcW w:type="dxa" w:w="64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TalentCell SL3400 internal rechargeable lithium-ion battery</w:t>
            </w:r>
          </w:p>
        </w:tc>
      </w:tr>
      <w:tr>
        <w:tc>
          <w:tcPr>
            <w:tcW w:type="dxa" w:w="29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bCs/>
                <w:color w:val="1B3A61"/>
                <w:sz w:val="19"/>
                <w:szCs w:val="19"/>
              </w:rPr>
              <w:t xml:space="preserve">Capacity</w:t>
            </w:r>
          </w:p>
        </w:tc>
        <w:tc>
          <w:tcPr>
            <w:tcW w:type="dxa" w:w="64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9,000 mAh / 97.2 Wh (10.8V nominal)</w:t>
            </w:r>
          </w:p>
        </w:tc>
      </w:tr>
      <w:tr>
        <w:tc>
          <w:tcPr>
            <w:tcW w:type="dxa" w:w="29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bCs/>
                <w:color w:val="1B3A61"/>
                <w:sz w:val="19"/>
                <w:szCs w:val="19"/>
              </w:rPr>
              <w:t xml:space="preserve">Operating Voltage</w:t>
            </w:r>
          </w:p>
        </w:tc>
        <w:tc>
          <w:tcPr>
            <w:tcW w:type="dxa" w:w="64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≤12V DC (max)</w:t>
            </w:r>
          </w:p>
        </w:tc>
      </w:tr>
      <w:tr>
        <w:tc>
          <w:tcPr>
            <w:tcW w:type="dxa" w:w="29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bCs/>
                <w:color w:val="1B3A61"/>
                <w:sz w:val="19"/>
                <w:szCs w:val="19"/>
              </w:rPr>
              <w:t xml:space="preserve">Runtime</w:t>
            </w:r>
          </w:p>
        </w:tc>
        <w:tc>
          <w:tcPr>
            <w:tcW w:type="dxa" w:w="64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8–12 hours (7″ display) / 4–5 hours (13.3″ display)</w:t>
            </w:r>
          </w:p>
        </w:tc>
      </w:tr>
      <w:tr>
        <w:tc>
          <w:tcPr>
            <w:tcW w:type="dxa" w:w="29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bCs/>
                <w:color w:val="1B3A61"/>
                <w:sz w:val="19"/>
                <w:szCs w:val="19"/>
              </w:rPr>
              <w:t xml:space="preserve">Safety Classification</w:t>
            </w:r>
          </w:p>
        </w:tc>
        <w:tc>
          <w:tcPr>
            <w:tcW w:type="dxa" w:w="64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Class III — Low Voltage Equipment (IEC 62368-1)</w:t>
            </w:r>
          </w:p>
        </w:tc>
      </w:tr>
      <w:tr>
        <w:tc>
          <w:tcPr>
            <w:tcW w:type="dxa" w:w="29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bCs/>
                <w:color w:val="1B3A61"/>
                <w:sz w:val="19"/>
                <w:szCs w:val="19"/>
              </w:rPr>
              <w:t xml:space="preserve">Charging</w:t>
            </w:r>
          </w:p>
        </w:tc>
        <w:tc>
          <w:tcPr>
            <w:tcW w:type="dxa" w:w="64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External DC5521 charger (9V/2A); not used during active resident interaction</w:t>
            </w:r>
          </w:p>
        </w:tc>
      </w:tr>
      <w:tr>
        <w:tc>
          <w:tcPr>
            <w:tcW w:type="dxa" w:w="29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bCs/>
                <w:color w:val="1B3A61"/>
                <w:sz w:val="19"/>
                <w:szCs w:val="19"/>
              </w:rPr>
              <w:t xml:space="preserve">AC Mains Exposure</w:t>
            </w:r>
          </w:p>
        </w:tc>
        <w:tc>
          <w:tcPr>
            <w:tcW w:type="dxa" w:w="64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None during normal operation</w:t>
            </w:r>
          </w:p>
        </w:tc>
      </w:tr>
      <w:tr>
        <w:tc>
          <w:tcPr>
            <w:tcW w:type="dxa" w:w="29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bCs/>
                <w:color w:val="1B3A61"/>
                <w:sz w:val="19"/>
                <w:szCs w:val="19"/>
              </w:rPr>
              <w:t xml:space="preserve">Battery Transport</w:t>
            </w:r>
          </w:p>
        </w:tc>
        <w:tc>
          <w:tcPr>
            <w:tcW w:type="dxa" w:w="64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CE + RoHS confirmed. UN38.3 not required for ground-only distribution; obtained before any air freight or international shipment.</w:t>
            </w:r>
          </w:p>
        </w:tc>
      </w:tr>
    </w:tbl>
    <w:p>
      <w:r>
        <w:br w:type="page"/>
      </w:r>
    </w:p>
    <w:p>
      <w:pPr>
        <w:pBdr>
          <w:bottom w:val="single" w:color="B88A13" w:sz="18" w:space="2"/>
        </w:pBdr>
        <w:shd w:fill="1B3A61" w:color="auto" w:val="clear"/>
        <w:spacing w:after="0" w:before="260"/>
      </w:pPr>
      <w:r>
        <w:rPr>
          <w:rFonts w:ascii="Arial" w:cs="Arial" w:eastAsia="Arial" w:hAnsi="Arial"/>
          <w:b/>
          <w:bCs/>
          <w:color w:val="B88A13"/>
          <w:sz w:val="26"/>
          <w:szCs w:val="26"/>
        </w:rPr>
        <w:t xml:space="preserve">9   </w:t>
      </w:r>
      <w:r>
        <w:rPr>
          <w:rFonts w:ascii="Arial" w:cs="Arial" w:eastAsia="Arial" w:hAnsi="Arial"/>
          <w:b/>
          <w:bCs/>
          <w:color w:val="FFFFFF"/>
          <w:sz w:val="26"/>
          <w:szCs w:val="26"/>
        </w:rPr>
        <w:t xml:space="preserve">Technical Standards &amp; Certifications</w:t>
      </w:r>
    </w:p>
    <w:p>
      <w:pPr>
        <w:pBdr>
          <w:bottom w:val="single" w:color="B88A13" w:sz="18" w:space="2"/>
        </w:pBdr>
        <w:shd w:fill="1B3A61" w:color="auto" w:val="clear"/>
        <w:spacing w:after="120" w:before="0"/>
      </w:pPr>
      <w:r>
        <w:rPr>
          <w:rFonts w:ascii="Arial" w:cs="Arial" w:eastAsia="Arial" w:hAnsi="Arial"/>
          <w:i/>
          <w:iCs/>
          <w:color w:val="F7EFE1"/>
          <w:sz w:val="19"/>
          <w:szCs w:val="19"/>
        </w:rPr>
        <w:t xml:space="preserve">Applicable standards and compliance basis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rPr>
          <w:tblHeader/>
        </w:trPr>
        <w:tc>
          <w:tcPr>
            <w:tcW w:type="dxa" w:w="3000"/>
            <w:tcBorders>
              <w:top w:val="single" w:color="CCCCCC" w:sz="1"/>
              <w:left w:val="single" w:color="CCCCCC" w:sz="1"/>
              <w:bottom w:val="single" w:color="CCCCCC" w:sz="1"/>
              <w:right w:val="single" w:color="CCCCCC" w:sz="1"/>
            </w:tcBorders>
            <w:shd w:fill="1B3A61" w:color="auto" w:val="clear"/>
            <w:tcMar>
              <w:top w:type="dxa" w:w="70"/>
              <w:left w:type="dxa" w:w="110"/>
              <w:bottom w:type="dxa" w:w="70"/>
              <w:right w:type="dxa" w:w="110"/>
            </w:tcMar>
          </w:tcPr>
          <w:p>
            <w:r>
              <w:rPr>
                <w:rFonts w:ascii="Arial" w:cs="Arial" w:eastAsia="Arial" w:hAnsi="Arial"/>
                <w:b/>
                <w:bCs/>
                <w:color w:val="FFFFFF"/>
                <w:sz w:val="19"/>
                <w:szCs w:val="19"/>
              </w:rPr>
              <w:t xml:space="preserve">Standard</w:t>
            </w:r>
          </w:p>
        </w:tc>
        <w:tc>
          <w:tcPr>
            <w:tcW w:type="dxa" w:w="6360"/>
            <w:tcBorders>
              <w:top w:val="single" w:color="CCCCCC" w:sz="1"/>
              <w:left w:val="single" w:color="CCCCCC" w:sz="1"/>
              <w:bottom w:val="single" w:color="CCCCCC" w:sz="1"/>
              <w:right w:val="single" w:color="CCCCCC" w:sz="1"/>
            </w:tcBorders>
            <w:shd w:fill="1B3A61" w:color="auto" w:val="clear"/>
            <w:tcMar>
              <w:top w:type="dxa" w:w="70"/>
              <w:left w:type="dxa" w:w="110"/>
              <w:bottom w:type="dxa" w:w="70"/>
              <w:right w:type="dxa" w:w="110"/>
            </w:tcMar>
          </w:tcPr>
          <w:p>
            <w:r>
              <w:rPr>
                <w:rFonts w:ascii="Arial" w:cs="Arial" w:eastAsia="Arial" w:hAnsi="Arial"/>
                <w:b/>
                <w:bCs/>
                <w:color w:val="FFFFFF"/>
                <w:sz w:val="19"/>
                <w:szCs w:val="19"/>
              </w:rPr>
              <w:t xml:space="preserve">Scope &amp; Compliance Notes</w:t>
            </w:r>
          </w:p>
        </w:tc>
      </w:tr>
      <w:tr>
        <w:tc>
          <w:tcPr>
            <w:tcW w:type="dxa" w:w="30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FCC Part 15, Subpart B (Class B)</w:t>
            </w:r>
          </w:p>
        </w:tc>
        <w:tc>
          <w:tcPr>
            <w:tcW w:type="dxa" w:w="63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EMC for unintentional radiators. Complied at component level: Raspberry Pi 4 (FCC ID 2ABCB-RPI4B); Jabra Speak 410 (BZ6-JABRA410); Logitech webcam (DoC AGY-700).</w:t>
            </w:r>
          </w:p>
        </w:tc>
      </w:tr>
      <w:tr>
        <w:tc>
          <w:tcPr>
            <w:tcW w:type="dxa" w:w="30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IEC 62368-1 (Class III)</w:t>
            </w:r>
          </w:p>
        </w:tc>
        <w:tc>
          <w:tcPr>
            <w:tcW w:type="dxa" w:w="63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Audio/video and IT equipment safety. Class III low-voltage (≤12V DC); no AC mains during normal operation.</w:t>
            </w:r>
          </w:p>
        </w:tc>
      </w:tr>
      <w:tr>
        <w:tc>
          <w:tcPr>
            <w:tcW w:type="dxa" w:w="30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EN 55032 / EN 55024</w:t>
            </w:r>
          </w:p>
        </w:tc>
        <w:tc>
          <w:tcPr>
            <w:tcW w:type="dxa" w:w="63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EMC for multimedia equipment — emissions and immunity. Kenowa display: Certificate TB190120863 (Feb 2019).</w:t>
            </w:r>
          </w:p>
        </w:tc>
      </w:tr>
      <w:tr>
        <w:tc>
          <w:tcPr>
            <w:tcW w:type="dxa" w:w="30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RoHS 2011/65/EU + 2015/863/EU</w:t>
            </w:r>
          </w:p>
        </w:tc>
        <w:tc>
          <w:tcPr>
            <w:tcW w:type="dxa" w:w="63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Restriction of hazardous substances. All major components RoHS-compliant. Kenowa display: Certificate TB190120895.</w:t>
            </w:r>
          </w:p>
        </w:tc>
      </w:tr>
      <w:tr>
        <w:tc>
          <w:tcPr>
            <w:tcW w:type="dxa" w:w="30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EN 71-3 (Migration of Elements)</w:t>
            </w:r>
          </w:p>
        </w:tc>
        <w:tc>
          <w:tcPr>
            <w:tcW w:type="dxa" w:w="63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Safety of toys — applied to the plush outer enclosure. OEKO-TEX and EN 71-3 compliant synthetic polyester.</w:t>
            </w:r>
          </w:p>
        </w:tc>
      </w:tr>
      <w:tr>
        <w:tc>
          <w:tcPr>
            <w:tcW w:type="dxa" w:w="30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OEKO-TEX Standard 100</w:t>
            </w:r>
          </w:p>
        </w:tc>
        <w:tc>
          <w:tcPr>
            <w:tcW w:type="dxa" w:w="63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Textile chemical safety — outer plush cover. No latex; 100% synthetic certified polyester.</w:t>
            </w:r>
          </w:p>
        </w:tc>
      </w:tr>
      <w:tr>
        <w:tc>
          <w:tcPr>
            <w:tcW w:type="dxa" w:w="30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UN38.3 (Lithium Battery)</w:t>
            </w:r>
          </w:p>
        </w:tc>
        <w:tc>
          <w:tcPr>
            <w:tcW w:type="dxa" w:w="63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Transport testing. Not required for ground-only distribution; obtained before any air freight.</w:t>
            </w:r>
          </w:p>
        </w:tc>
      </w:tr>
    </w:tbl>
    <w:p>
      <w:r>
        <w:br w:type="page"/>
      </w:r>
    </w:p>
    <w:p>
      <w:pPr>
        <w:pBdr>
          <w:bottom w:val="single" w:color="B88A13" w:sz="18" w:space="2"/>
        </w:pBdr>
        <w:shd w:fill="1B3A61" w:color="auto" w:val="clear"/>
        <w:spacing w:after="0" w:before="260"/>
      </w:pPr>
      <w:r>
        <w:rPr>
          <w:rFonts w:ascii="Arial" w:cs="Arial" w:eastAsia="Arial" w:hAnsi="Arial"/>
          <w:b/>
          <w:bCs/>
          <w:color w:val="B88A13"/>
          <w:sz w:val="26"/>
          <w:szCs w:val="26"/>
        </w:rPr>
        <w:t xml:space="preserve">10   </w:t>
      </w:r>
      <w:r>
        <w:rPr>
          <w:rFonts w:ascii="Arial" w:cs="Arial" w:eastAsia="Arial" w:hAnsi="Arial"/>
          <w:b/>
          <w:bCs/>
          <w:color w:val="FFFFFF"/>
          <w:sz w:val="26"/>
          <w:szCs w:val="26"/>
        </w:rPr>
        <w:t xml:space="preserve">Component Certification Detail</w:t>
      </w:r>
    </w:p>
    <w:p>
      <w:pPr>
        <w:pBdr>
          <w:bottom w:val="single" w:color="B88A13" w:sz="18" w:space="2"/>
        </w:pBdr>
        <w:shd w:fill="1B3A61" w:color="auto" w:val="clear"/>
        <w:spacing w:after="120" w:before="0"/>
      </w:pPr>
      <w:r>
        <w:rPr>
          <w:rFonts w:ascii="Arial" w:cs="Arial" w:eastAsia="Arial" w:hAnsi="Arial"/>
          <w:i/>
          <w:iCs/>
          <w:color w:val="F7EFE1"/>
          <w:sz w:val="19"/>
          <w:szCs w:val="19"/>
        </w:rPr>
        <w:t xml:space="preserve">Updated June 19, 2026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4960"/>
        <w:gridCol w:w="1200"/>
      </w:tblGrid>
      <w:tr>
        <w:trPr>
          <w:tblHeader/>
        </w:trPr>
        <w:tc>
          <w:tcPr>
            <w:tcW w:type="dxa" w:w="3200"/>
            <w:tcBorders>
              <w:top w:val="single" w:color="CCCCCC" w:sz="1"/>
              <w:left w:val="single" w:color="CCCCCC" w:sz="1"/>
              <w:bottom w:val="single" w:color="CCCCCC" w:sz="1"/>
              <w:right w:val="single" w:color="CCCCCC" w:sz="1"/>
            </w:tcBorders>
            <w:shd w:fill="1B3A61" w:color="auto" w:val="clear"/>
            <w:tcMar>
              <w:top w:type="dxa" w:w="70"/>
              <w:left w:type="dxa" w:w="110"/>
              <w:bottom w:type="dxa" w:w="70"/>
              <w:right w:type="dxa" w:w="110"/>
            </w:tcMar>
          </w:tcPr>
          <w:p>
            <w:r>
              <w:rPr>
                <w:rFonts w:ascii="Arial" w:cs="Arial" w:eastAsia="Arial" w:hAnsi="Arial"/>
                <w:b/>
                <w:bCs/>
                <w:color w:val="FFFFFF"/>
                <w:sz w:val="19"/>
                <w:szCs w:val="19"/>
              </w:rPr>
              <w:t xml:space="preserve">Component</w:t>
            </w:r>
          </w:p>
        </w:tc>
        <w:tc>
          <w:tcPr>
            <w:tcW w:type="dxa" w:w="4960"/>
            <w:tcBorders>
              <w:top w:val="single" w:color="CCCCCC" w:sz="1"/>
              <w:left w:val="single" w:color="CCCCCC" w:sz="1"/>
              <w:bottom w:val="single" w:color="CCCCCC" w:sz="1"/>
              <w:right w:val="single" w:color="CCCCCC" w:sz="1"/>
            </w:tcBorders>
            <w:shd w:fill="1B3A61" w:color="auto" w:val="clear"/>
            <w:tcMar>
              <w:top w:type="dxa" w:w="70"/>
              <w:left w:type="dxa" w:w="110"/>
              <w:bottom w:type="dxa" w:w="70"/>
              <w:right w:type="dxa" w:w="110"/>
            </w:tcMar>
          </w:tcPr>
          <w:p>
            <w:r>
              <w:rPr>
                <w:rFonts w:ascii="Arial" w:cs="Arial" w:eastAsia="Arial" w:hAnsi="Arial"/>
                <w:b/>
                <w:bCs/>
                <w:color w:val="FFFFFF"/>
                <w:sz w:val="19"/>
                <w:szCs w:val="19"/>
              </w:rPr>
              <w:t xml:space="preserve">Certification / Standard / ID</w:t>
            </w:r>
          </w:p>
        </w:tc>
        <w:tc>
          <w:tcPr>
            <w:tcW w:type="dxa" w:w="1200"/>
            <w:tcBorders>
              <w:top w:val="single" w:color="CCCCCC" w:sz="1"/>
              <w:left w:val="single" w:color="CCCCCC" w:sz="1"/>
              <w:bottom w:val="single" w:color="CCCCCC" w:sz="1"/>
              <w:right w:val="single" w:color="CCCCCC" w:sz="1"/>
            </w:tcBorders>
            <w:shd w:fill="1B3A61" w:color="auto" w:val="clear"/>
            <w:tcMar>
              <w:top w:type="dxa" w:w="70"/>
              <w:left w:type="dxa" w:w="110"/>
              <w:bottom w:type="dxa" w:w="70"/>
              <w:right w:type="dxa" w:w="110"/>
            </w:tcMar>
          </w:tcPr>
          <w:p>
            <w:r>
              <w:rPr>
                <w:rFonts w:ascii="Arial" w:cs="Arial" w:eastAsia="Arial" w:hAnsi="Arial"/>
                <w:b/>
                <w:bCs/>
                <w:color w:val="FFFFFF"/>
                <w:sz w:val="19"/>
                <w:szCs w:val="19"/>
              </w:rPr>
              <w:t xml:space="preserve">Status</w:t>
            </w:r>
          </w:p>
        </w:tc>
      </w:tr>
      <w:tr>
        <w:tc>
          <w:tcPr>
            <w:tcW w:type="dxa" w:w="32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Raspberry Pi 4B (SoC)</w:t>
            </w:r>
          </w:p>
        </w:tc>
        <w:tc>
          <w:tcPr>
            <w:tcW w:type="dxa" w:w="49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FCC Part 15B / ICES-003 — FCC ID 2ABCB-RPI4B. CE (EN 55032/55024). RoHS.</w:t>
            </w:r>
          </w:p>
        </w:tc>
        <w:tc>
          <w:tcPr>
            <w:tcW w:type="dxa" w:w="12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w:t>
            </w:r>
          </w:p>
        </w:tc>
      </w:tr>
      <w:tr>
        <w:tc>
          <w:tcPr>
            <w:tcW w:type="dxa" w:w="32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Kenowa HD-133 Display</w:t>
            </w:r>
          </w:p>
        </w:tc>
        <w:tc>
          <w:tcPr>
            <w:tcW w:type="dxa" w:w="49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CE EMC TB190120863. CE RoHS TB190120895 (Feb 2019).</w:t>
            </w:r>
          </w:p>
        </w:tc>
        <w:tc>
          <w:tcPr>
            <w:tcW w:type="dxa" w:w="12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w:t>
            </w:r>
          </w:p>
        </w:tc>
      </w:tr>
      <w:tr>
        <w:tc>
          <w:tcPr>
            <w:tcW w:type="dxa" w:w="32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Jabra Speak 410 USB</w:t>
            </w:r>
          </w:p>
        </w:tc>
        <w:tc>
          <w:tcPr>
            <w:tcW w:type="dxa" w:w="49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FCC Part 15B — FCC ID BZ6-JABRA410. USB-wired; no RF transmitter.</w:t>
            </w:r>
          </w:p>
        </w:tc>
        <w:tc>
          <w:tcPr>
            <w:tcW w:type="dxa" w:w="12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w:t>
            </w:r>
          </w:p>
        </w:tc>
      </w:tr>
      <w:tr>
        <w:tc>
          <w:tcPr>
            <w:tcW w:type="dxa" w:w="32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Logitech C270 Webcam</w:t>
            </w:r>
          </w:p>
        </w:tc>
        <w:tc>
          <w:tcPr>
            <w:tcW w:type="dxa" w:w="49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FCC Part 15B / ICES-003 — DoC AGY-700 (V-U0015 / C270 series). CE.</w:t>
            </w:r>
          </w:p>
        </w:tc>
        <w:tc>
          <w:tcPr>
            <w:tcW w:type="dxa" w:w="12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w:t>
            </w:r>
          </w:p>
        </w:tc>
      </w:tr>
      <w:tr>
        <w:tc>
          <w:tcPr>
            <w:tcW w:type="dxa" w:w="32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TalentCell SL3400 Battery</w:t>
            </w:r>
          </w:p>
        </w:tc>
        <w:tc>
          <w:tcPr>
            <w:tcW w:type="dxa" w:w="49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CE + RoHS on label. UN38.3 not required for ground-only distribution.</w:t>
            </w:r>
          </w:p>
        </w:tc>
        <w:tc>
          <w:tcPr>
            <w:tcW w:type="dxa" w:w="12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w:t>
            </w:r>
          </w:p>
        </w:tc>
      </w:tr>
      <w:tr>
        <w:tc>
          <w:tcPr>
            <w:tcW w:type="dxa" w:w="32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GeeekPi 3510 Fan Kit</w:t>
            </w:r>
          </w:p>
        </w:tc>
        <w:tc>
          <w:tcPr>
            <w:tcW w:type="dxa" w:w="49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Passive cooling. CE/UL declaration in progress.</w:t>
            </w:r>
          </w:p>
        </w:tc>
        <w:tc>
          <w:tcPr>
            <w:tcW w:type="dxa" w:w="12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In Progress</w:t>
            </w:r>
          </w:p>
        </w:tc>
      </w:tr>
      <w:tr>
        <w:tc>
          <w:tcPr>
            <w:tcW w:type="dxa" w:w="32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DROK USB Buck Converter (12V→5V)</w:t>
            </w:r>
          </w:p>
        </w:tc>
        <w:tc>
          <w:tcPr>
            <w:tcW w:type="dxa" w:w="49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Low-voltage DC-DC step-down. FCC Part 15B / CE / RoHS verification in progress.</w:t>
            </w:r>
          </w:p>
        </w:tc>
        <w:tc>
          <w:tcPr>
            <w:tcW w:type="dxa" w:w="12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In Progress</w:t>
            </w:r>
          </w:p>
        </w:tc>
      </w:tr>
      <w:tr>
        <w:tc>
          <w:tcPr>
            <w:tcW w:type="dxa" w:w="32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Plush Enclosure (polyester)</w:t>
            </w:r>
          </w:p>
        </w:tc>
        <w:tc>
          <w:tcPr>
            <w:tcW w:type="dxa" w:w="49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OEKO-TEX Standard 100; EN 71-3. No latex; 100% synthetic.</w:t>
            </w:r>
          </w:p>
        </w:tc>
        <w:tc>
          <w:tcPr>
            <w:tcW w:type="dxa" w:w="12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w:t>
            </w:r>
          </w:p>
        </w:tc>
      </w:tr>
      <w:tr>
        <w:tc>
          <w:tcPr>
            <w:tcW w:type="dxa" w:w="32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microSD Storage</w:t>
            </w:r>
          </w:p>
        </w:tc>
        <w:tc>
          <w:tcPr>
            <w:tcW w:type="dxa" w:w="49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RoHS-compliant solid-state storage; passive, no RF emitter.</w:t>
            </w:r>
          </w:p>
        </w:tc>
        <w:tc>
          <w:tcPr>
            <w:tcW w:type="dxa" w:w="12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w:t>
            </w:r>
          </w:p>
        </w:tc>
      </w:tr>
      <w:tr>
        <w:tc>
          <w:tcPr>
            <w:tcW w:type="dxa" w:w="32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Internal Wiring / USB Cabling</w:t>
            </w:r>
          </w:p>
        </w:tc>
        <w:tc>
          <w:tcPr>
            <w:tcW w:type="dxa" w:w="49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Low-voltage (≤12V DC), RoHS-compliant; USB-IF-compliant where applicable.</w:t>
            </w:r>
          </w:p>
        </w:tc>
        <w:tc>
          <w:tcPr>
            <w:tcW w:type="dxa" w:w="12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w:t>
            </w:r>
          </w:p>
        </w:tc>
      </w:tr>
      <w:tr>
        <w:tc>
          <w:tcPr>
            <w:tcW w:type="dxa" w:w="32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Structural Frame &amp; Paneling</w:t>
            </w:r>
          </w:p>
        </w:tc>
        <w:tc>
          <w:tcPr>
            <w:tcW w:type="dxa" w:w="49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Internal PVC frame and Coroplast panels; non-user-contact, non-hazardous.</w:t>
            </w:r>
          </w:p>
        </w:tc>
        <w:tc>
          <w:tcPr>
            <w:tcW w:type="dxa" w:w="12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w:t>
            </w:r>
          </w:p>
        </w:tc>
      </w:tr>
      <w:tr>
        <w:tc>
          <w:tcPr>
            <w:tcW w:type="dxa" w:w="32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Felt &amp; Fiber Fill</w:t>
            </w:r>
          </w:p>
        </w:tc>
        <w:tc>
          <w:tcPr>
            <w:tcW w:type="dxa" w:w="49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Acrylic/polyester; synthetic, non-toxic, hypoallergenic.</w:t>
            </w:r>
          </w:p>
        </w:tc>
        <w:tc>
          <w:tcPr>
            <w:tcW w:type="dxa" w:w="12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w:t>
            </w:r>
          </w:p>
        </w:tc>
      </w:tr>
    </w:tbl>
    <w:p>
      <w:r>
        <w:br w:type="page"/>
      </w:r>
    </w:p>
    <w:p>
      <w:pPr>
        <w:pBdr>
          <w:bottom w:val="single" w:color="B88A13" w:sz="18" w:space="2"/>
        </w:pBdr>
        <w:shd w:fill="1B3A61" w:color="auto" w:val="clear"/>
        <w:spacing w:after="0" w:before="260"/>
      </w:pPr>
      <w:r>
        <w:rPr>
          <w:rFonts w:ascii="Arial" w:cs="Arial" w:eastAsia="Arial" w:hAnsi="Arial"/>
          <w:b/>
          <w:bCs/>
          <w:color w:val="B88A13"/>
          <w:sz w:val="26"/>
          <w:szCs w:val="26"/>
        </w:rPr>
        <w:t xml:space="preserve">Appendix A   </w:t>
      </w:r>
      <w:r>
        <w:rPr>
          <w:rFonts w:ascii="Arial" w:cs="Arial" w:eastAsia="Arial" w:hAnsi="Arial"/>
          <w:b/>
          <w:bCs/>
          <w:color w:val="FFFFFF"/>
          <w:sz w:val="26"/>
          <w:szCs w:val="26"/>
        </w:rPr>
        <w:t xml:space="preserve">Declaration of Conformity — Signed</w:t>
      </w:r>
    </w:p>
    <w:p>
      <w:pPr>
        <w:pBdr>
          <w:bottom w:val="single" w:color="B88A13" w:sz="18" w:space="2"/>
        </w:pBdr>
        <w:shd w:fill="1B3A61" w:color="auto" w:val="clear"/>
        <w:spacing w:after="120" w:before="0"/>
      </w:pPr>
      <w:r>
        <w:rPr>
          <w:rFonts w:ascii="Arial" w:cs="Arial" w:eastAsia="Arial" w:hAnsi="Arial"/>
          <w:i/>
          <w:iCs/>
          <w:color w:val="F7EFE1"/>
          <w:sz w:val="19"/>
          <w:szCs w:val="19"/>
        </w:rPr>
        <w:t xml:space="preserve">Luka Bear Version 1.1 · Eldercare Robotics LLC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900"/>
        <w:gridCol w:w="6460"/>
      </w:tblGrid>
      <w:tr>
        <w:tc>
          <w:tcPr>
            <w:tcW w:type="dxa" w:w="29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bCs/>
                <w:color w:val="1B3A61"/>
                <w:sz w:val="19"/>
                <w:szCs w:val="19"/>
              </w:rPr>
              <w:t xml:space="preserve">Product Name</w:t>
            </w:r>
          </w:p>
        </w:tc>
        <w:tc>
          <w:tcPr>
            <w:tcW w:type="dxa" w:w="64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Luka Bear — Interactive Eldercare Companion</w:t>
            </w:r>
          </w:p>
        </w:tc>
      </w:tr>
      <w:tr>
        <w:tc>
          <w:tcPr>
            <w:tcW w:type="dxa" w:w="29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bCs/>
                <w:color w:val="1B3A61"/>
                <w:sz w:val="19"/>
                <w:szCs w:val="19"/>
              </w:rPr>
              <w:t xml:space="preserve">Manufacturer</w:t>
            </w:r>
          </w:p>
        </w:tc>
        <w:tc>
          <w:tcPr>
            <w:tcW w:type="dxa" w:w="64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Eldercare Robotics LLC, Rockville, Maryland, USA</w:t>
            </w:r>
          </w:p>
        </w:tc>
      </w:tr>
      <w:tr>
        <w:tc>
          <w:tcPr>
            <w:tcW w:type="dxa" w:w="29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bCs/>
                <w:color w:val="1B3A61"/>
                <w:sz w:val="19"/>
                <w:szCs w:val="19"/>
              </w:rPr>
              <w:t xml:space="preserve">Hardware Version</w:t>
            </w:r>
          </w:p>
        </w:tc>
        <w:tc>
          <w:tcPr>
            <w:tcW w:type="dxa" w:w="64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1.1</w:t>
            </w:r>
          </w:p>
        </w:tc>
      </w:tr>
      <w:tr>
        <w:tc>
          <w:tcPr>
            <w:tcW w:type="dxa" w:w="29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bCs/>
                <w:color w:val="1B3A61"/>
                <w:sz w:val="19"/>
                <w:szCs w:val="19"/>
              </w:rPr>
              <w:t xml:space="preserve">Portfolio Version</w:t>
            </w:r>
          </w:p>
        </w:tc>
        <w:tc>
          <w:tcPr>
            <w:tcW w:type="dxa" w:w="64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2.0 (June 19, 2026)</w:t>
            </w:r>
          </w:p>
        </w:tc>
      </w:tr>
      <w:tr>
        <w:tc>
          <w:tcPr>
            <w:tcW w:type="dxa" w:w="29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bCs/>
                <w:color w:val="1B3A61"/>
                <w:sz w:val="19"/>
                <w:szCs w:val="19"/>
              </w:rPr>
              <w:t xml:space="preserve">Standards Declared</w:t>
            </w:r>
          </w:p>
        </w:tc>
        <w:tc>
          <w:tcPr>
            <w:tcW w:type="dxa" w:w="64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FCC Part 15 Subpart B (Class B); IEC 62368-1 (Class III); EN 55032 / EN 55024; RoHS 2011/65/EU; EN 71-3; OEKO-TEX Standard 100</w:t>
            </w:r>
          </w:p>
        </w:tc>
      </w:tr>
      <w:tr>
        <w:tc>
          <w:tcPr>
            <w:tcW w:type="dxa" w:w="29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bCs/>
                <w:color w:val="1B3A61"/>
                <w:sz w:val="19"/>
                <w:szCs w:val="19"/>
              </w:rPr>
              <w:t xml:space="preserve">FCC IDs</w:t>
            </w:r>
          </w:p>
        </w:tc>
        <w:tc>
          <w:tcPr>
            <w:tcW w:type="dxa" w:w="64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Raspberry Pi 4: 2ABCB-RPI4B · Jabra Speak 410: BZ6-JABRA410 · Logitech webcam: DoC AGY-700</w:t>
            </w:r>
          </w:p>
        </w:tc>
      </w:tr>
      <w:tr>
        <w:tc>
          <w:tcPr>
            <w:tcW w:type="dxa" w:w="29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bCs/>
                <w:color w:val="1B3A61"/>
                <w:sz w:val="19"/>
                <w:szCs w:val="19"/>
              </w:rPr>
              <w:t xml:space="preserve">CE Certificates</w:t>
            </w:r>
          </w:p>
        </w:tc>
        <w:tc>
          <w:tcPr>
            <w:tcW w:type="dxa" w:w="64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EMC TB190120863 · RoHS TB190120895 (Kenowa display)</w:t>
            </w:r>
          </w:p>
        </w:tc>
      </w:tr>
    </w:tbl>
    <w:p>
      <w:pPr>
        <w:spacing w:after="120"/>
      </w:pPr>
      <w:r>
        <w:rPr>
          <w:sz w:val="20"/>
          <w:szCs w:val="20"/>
        </w:rPr>
        <w:t xml:space="preserve">I, Eduard Takhunts, Founder and Managing Member of Eldercare Robotics LLC, declare that the Luka Bear Interactive Eldercare Companion Device (Version 1.1) conforms to the applicable standards listed above.</w:t>
      </w:r>
    </w:p>
    <w:p>
      <w:pPr>
        <w:spacing w:after="0" w:before="160"/>
      </w:pPr>
      <w:r>
        <w:rPr>
          <w:rFonts w:ascii="Arial" w:cs="Arial" w:eastAsia="Arial" w:hAnsi="Arial"/>
          <w:b/>
          <w:bCs/>
          <w:color w:val="1B3A61"/>
          <w:sz w:val="19"/>
          <w:szCs w:val="19"/>
        </w:rPr>
        <w:t xml:space="preserve">Declared and signed by:</w:t>
      </w:r>
    </w:p>
    <w:p>
      <w:pPr>
        <w:spacing w:after="0" w:before="40"/>
      </w:pPr>
      <w:r>
        <w:drawing>
          <wp:inline distT="0" distB="0" distL="0" distR="0">
            <wp:extent cx="1428750" cy="1123950"/>
            <wp:effectExtent t="0" r="0" b="0" l="0"/>
            <wp:docPr id="1" name="signature" descr="Eduard Takhunts signature" title="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428750" cy="1123950"/>
                    </a:xfrm>
                    <a:prstGeom prst="rect">
                      <a:avLst/>
                    </a:prstGeom>
                  </pic:spPr>
                </pic:pic>
              </a:graphicData>
            </a:graphic>
          </wp:inline>
        </w:drawing>
      </w:r>
    </w:p>
    <w:p>
      <w:pPr>
        <w:pBdr>
          <w:top w:val="single" w:color="888888" w:sz="6" w:space="2"/>
        </w:pBdr>
        <w:spacing w:after="0"/>
      </w:pPr>
      <w:r>
        <w:rPr>
          <w:rFonts w:ascii="Arial" w:cs="Arial" w:eastAsia="Arial" w:hAnsi="Arial"/>
          <w:b/>
          <w:bCs/>
          <w:sz w:val="20"/>
          <w:szCs w:val="20"/>
        </w:rPr>
        <w:t xml:space="preserve">Eduard Takhunts</w:t>
      </w:r>
    </w:p>
    <w:p>
      <w:pPr>
        <w:spacing w:after="0"/>
      </w:pPr>
      <w:r>
        <w:rPr>
          <w:rFonts w:ascii="Arial" w:cs="Arial" w:eastAsia="Arial" w:hAnsi="Arial"/>
          <w:color w:val="333333"/>
          <w:sz w:val="19"/>
          <w:szCs w:val="19"/>
        </w:rPr>
        <w:t xml:space="preserve">Founder &amp; Managing Member, Eldercare Robotics LLC</w:t>
      </w:r>
    </w:p>
    <w:p>
      <w:pPr>
        <w:spacing w:after="120" w:before="30"/>
      </w:pPr>
      <w:r>
        <w:rPr>
          <w:rFonts w:ascii="Arial" w:cs="Arial" w:eastAsia="Arial" w:hAnsi="Arial"/>
          <w:b/>
          <w:bCs/>
          <w:sz w:val="20"/>
          <w:szCs w:val="20"/>
        </w:rPr>
        <w:t xml:space="preserve">Date: June 19, 2026</w:t>
      </w:r>
    </w:p>
    <w:p>
      <w:r>
        <w:br w:type="page"/>
      </w:r>
    </w:p>
    <w:p>
      <w:pPr>
        <w:pBdr>
          <w:bottom w:val="single" w:color="B88A13" w:sz="18" w:space="2"/>
        </w:pBdr>
        <w:shd w:fill="1B3A61" w:color="auto" w:val="clear"/>
        <w:spacing w:after="0" w:before="260"/>
      </w:pPr>
      <w:r>
        <w:rPr>
          <w:rFonts w:ascii="Arial" w:cs="Arial" w:eastAsia="Arial" w:hAnsi="Arial"/>
          <w:b/>
          <w:bCs/>
          <w:color w:val="B88A13"/>
          <w:sz w:val="26"/>
          <w:szCs w:val="26"/>
        </w:rPr>
        <w:t xml:space="preserve">Appendix B   </w:t>
      </w:r>
      <w:r>
        <w:rPr>
          <w:rFonts w:ascii="Arial" w:cs="Arial" w:eastAsia="Arial" w:hAnsi="Arial"/>
          <w:b/>
          <w:bCs/>
          <w:color w:val="FFFFFF"/>
          <w:sz w:val="26"/>
          <w:szCs w:val="26"/>
        </w:rPr>
        <w:t xml:space="preserve">FDA Non-Medical Device Self-Declaration — Signed</w:t>
      </w:r>
    </w:p>
    <w:p>
      <w:pPr>
        <w:pBdr>
          <w:bottom w:val="single" w:color="B88A13" w:sz="18" w:space="2"/>
        </w:pBdr>
        <w:shd w:fill="1B3A61" w:color="auto" w:val="clear"/>
        <w:spacing w:after="120" w:before="0"/>
      </w:pPr>
      <w:r>
        <w:rPr>
          <w:rFonts w:ascii="Arial" w:cs="Arial" w:eastAsia="Arial" w:hAnsi="Arial"/>
          <w:i/>
          <w:iCs/>
          <w:color w:val="F7EFE1"/>
          <w:sz w:val="19"/>
          <w:szCs w:val="19"/>
        </w:rPr>
        <w:t xml:space="preserve">Reviewed, approved, and signed on the revised text</w:t>
      </w:r>
    </w:p>
    <w:p>
      <w:pPr>
        <w:pBdr>
          <w:top w:val="single" w:color="B88A13" w:sz="6" w:space="4"/>
          <w:bottom w:val="single" w:color="B88A13" w:sz="6" w:space="4"/>
        </w:pBdr>
        <w:shd w:fill="EFE4CF" w:color="auto" w:val="clear"/>
        <w:spacing w:after="120" w:before="120"/>
      </w:pPr>
      <w:r>
        <w:rPr>
          <w:rFonts w:ascii="Arial" w:cs="Arial" w:eastAsia="Arial" w:hAnsi="Arial"/>
          <w:color w:val="1B3A61"/>
          <w:sz w:val="19"/>
          <w:szCs w:val="19"/>
        </w:rPr>
        <w:t xml:space="preserve">This declaration constitutes the formal self-declaration by Eldercare Robotics LLC that Luka Bear does not meet the statutory definition of a device under 21 U.S.C. § 321(h) and is not subject to FDA device regulatory requirements under 21 CFR Parts 800–899.</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900"/>
        <w:gridCol w:w="6460"/>
      </w:tblGrid>
      <w:tr>
        <w:tc>
          <w:tcPr>
            <w:tcW w:type="dxa" w:w="29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bCs/>
                <w:color w:val="1B3A61"/>
                <w:sz w:val="19"/>
                <w:szCs w:val="19"/>
              </w:rPr>
              <w:t xml:space="preserve">Product Name</w:t>
            </w:r>
          </w:p>
        </w:tc>
        <w:tc>
          <w:tcPr>
            <w:tcW w:type="dxa" w:w="64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Luka Bear — Interactive Eldercare Companion</w:t>
            </w:r>
          </w:p>
        </w:tc>
      </w:tr>
      <w:tr>
        <w:tc>
          <w:tcPr>
            <w:tcW w:type="dxa" w:w="29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bCs/>
                <w:color w:val="1B3A61"/>
                <w:sz w:val="19"/>
                <w:szCs w:val="19"/>
              </w:rPr>
              <w:t xml:space="preserve">Manufacturer</w:t>
            </w:r>
          </w:p>
        </w:tc>
        <w:tc>
          <w:tcPr>
            <w:tcW w:type="dxa" w:w="64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Eldercare Robotics LLC, Rockville, Maryland, USA</w:t>
            </w:r>
          </w:p>
        </w:tc>
      </w:tr>
      <w:tr>
        <w:tc>
          <w:tcPr>
            <w:tcW w:type="dxa" w:w="29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bCs/>
                <w:color w:val="1B3A61"/>
                <w:sz w:val="19"/>
                <w:szCs w:val="19"/>
              </w:rPr>
              <w:t xml:space="preserve">Hardware Version</w:t>
            </w:r>
          </w:p>
        </w:tc>
        <w:tc>
          <w:tcPr>
            <w:tcW w:type="dxa" w:w="64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1.1</w:t>
            </w:r>
          </w:p>
        </w:tc>
      </w:tr>
      <w:tr>
        <w:tc>
          <w:tcPr>
            <w:tcW w:type="dxa" w:w="29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bCs/>
                <w:color w:val="1B3A61"/>
                <w:sz w:val="19"/>
                <w:szCs w:val="19"/>
              </w:rPr>
              <w:t xml:space="preserve">Regulatory Basis</w:t>
            </w:r>
          </w:p>
        </w:tc>
        <w:tc>
          <w:tcPr>
            <w:tcW w:type="dxa" w:w="64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FDA General Wellness Policy for Low Risk Devices (July 29, 2016); AT Act of 2004 (29 U.S.C. § 3002); FCC Part 15 Class B; IEC 62368-1 (Class III); HIPAA BAA framework</w:t>
            </w:r>
          </w:p>
        </w:tc>
      </w:tr>
    </w:tbl>
    <w:p>
      <w:pPr>
        <w:spacing w:after="80" w:before="200"/>
      </w:pPr>
      <w:r>
        <w:rPr>
          <w:rFonts w:ascii="Arial" w:cs="Arial" w:eastAsia="Arial" w:hAnsi="Arial"/>
          <w:b/>
          <w:bCs/>
          <w:color w:val="1B3A61"/>
          <w:sz w:val="23"/>
          <w:szCs w:val="23"/>
        </w:rPr>
        <w:t xml:space="preserve">Intended Uses (Confirmed Non-Medical)</w:t>
      </w:r>
    </w:p>
    <w:p>
      <w:pPr>
        <w:pStyle w:val="ListParagraph"/>
        <w:numPr>
          <w:ilvl w:val="0"/>
          <w:numId w:val="2"/>
        </w:numPr>
        <w:spacing w:after="60"/>
      </w:pPr>
      <w:r>
        <w:t xml:space="preserve">Providing conversational companionship to older adults and persons with dementia.</w:t>
      </w:r>
    </w:p>
    <w:p>
      <w:pPr>
        <w:pStyle w:val="ListParagraph"/>
        <w:numPr>
          <w:ilvl w:val="0"/>
          <w:numId w:val="2"/>
        </w:numPr>
        <w:spacing w:after="60"/>
      </w:pPr>
      <w:r>
        <w:t xml:space="preserve">Delivering user-programmed medication and appointment reminders (time-of-day audio/visual alerts; not a drug-delivery device).</w:t>
      </w:r>
    </w:p>
    <w:p>
      <w:pPr>
        <w:pStyle w:val="ListParagraph"/>
        <w:numPr>
          <w:ilvl w:val="0"/>
          <w:numId w:val="2"/>
        </w:numPr>
        <w:spacing w:after="60"/>
      </w:pPr>
      <w:r>
        <w:t xml:space="preserve">Providing cognitive engagement activities (reminiscence, music, games) and calming routines to support general wellness.</w:t>
      </w:r>
    </w:p>
    <w:p>
      <w:pPr>
        <w:pStyle w:val="ListParagraph"/>
        <w:numPr>
          <w:ilvl w:val="0"/>
          <w:numId w:val="2"/>
        </w:numPr>
        <w:spacing w:after="60"/>
      </w:pPr>
      <w:r>
        <w:t xml:space="preserve">Enabling family and professional caregiver communication (voice, video, photo) and remote, app-based caregiver support.</w:t>
      </w:r>
    </w:p>
    <w:p>
      <w:pPr>
        <w:pStyle w:val="ListParagraph"/>
        <w:numPr>
          <w:ilvl w:val="0"/>
          <w:numId w:val="2"/>
        </w:numPr>
        <w:spacing w:after="60"/>
      </w:pPr>
      <w:r>
        <w:t xml:space="preserve">Providing motion-prompted verbal reassurance and caregiver-configured notification (informational only; non-emergency).</w:t>
      </w:r>
    </w:p>
    <w:p>
      <w:pPr>
        <w:spacing w:after="80" w:before="200"/>
      </w:pPr>
      <w:r>
        <w:rPr>
          <w:rFonts w:ascii="Arial" w:cs="Arial" w:eastAsia="Arial" w:hAnsi="Arial"/>
          <w:b/>
          <w:bCs/>
          <w:color w:val="1B3A61"/>
          <w:sz w:val="23"/>
          <w:szCs w:val="23"/>
        </w:rPr>
        <w:t xml:space="preserve">NOT Intended For</w:t>
      </w:r>
    </w:p>
    <w:p>
      <w:pPr>
        <w:pStyle w:val="ListParagraph"/>
        <w:numPr>
          <w:ilvl w:val="0"/>
          <w:numId w:val="2"/>
        </w:numPr>
        <w:spacing w:after="60"/>
      </w:pPr>
      <w:r>
        <w:t xml:space="preserve">Diagnosing, curing, treating, mitigating, or preventing any disease or medical condition.</w:t>
      </w:r>
    </w:p>
    <w:p>
      <w:pPr>
        <w:pStyle w:val="ListParagraph"/>
        <w:numPr>
          <w:ilvl w:val="0"/>
          <w:numId w:val="2"/>
        </w:numPr>
        <w:spacing w:after="60"/>
      </w:pPr>
      <w:r>
        <w:t xml:space="preserve">Replacing physician consultation, clinical assessment, or medical judgment.</w:t>
      </w:r>
    </w:p>
    <w:p>
      <w:pPr>
        <w:pStyle w:val="ListParagraph"/>
        <w:numPr>
          <w:ilvl w:val="0"/>
          <w:numId w:val="2"/>
        </w:numPr>
        <w:spacing w:after="60"/>
      </w:pPr>
      <w:r>
        <w:t xml:space="preserve">Emergency medical response, fall prevention or detection, or life-support functions.</w:t>
      </w:r>
    </w:p>
    <w:p>
      <w:pPr>
        <w:pStyle w:val="ListParagraph"/>
        <w:numPr>
          <w:ilvl w:val="0"/>
          <w:numId w:val="2"/>
        </w:numPr>
        <w:spacing w:after="60"/>
      </w:pPr>
      <w:r>
        <w:t xml:space="preserve">Clinical monitoring of vital signs, physiological parameters, or biomarkers.</w:t>
      </w:r>
    </w:p>
    <w:p>
      <w:pPr>
        <w:pStyle w:val="ListParagraph"/>
        <w:numPr>
          <w:ilvl w:val="0"/>
          <w:numId w:val="2"/>
        </w:numPr>
        <w:spacing w:after="60"/>
      </w:pPr>
      <w:r>
        <w:t xml:space="preserve">Administration of drugs, biologics, or therapeutic interventions.</w:t>
      </w:r>
    </w:p>
    <w:p>
      <w:pPr>
        <w:spacing w:after="120"/>
      </w:pPr>
      <w:r>
        <w:rPr>
          <w:sz w:val="20"/>
          <w:szCs w:val="20"/>
        </w:rPr>
        <w:t xml:space="preserve">I, Eduard Takhunts, Founder and Managing Member of Eldercare Robotics LLC, declare that, to the best of my knowledge, the Luka Bear Interactive Eldercare Companion Device (Version 1.1) does not meet the definition of a “device” under 21 U.S.C. § 321(h), based on the intended use, design, and applicable guidance above. This declaration is not a substitute for FDA clearance or approval. Should the intended use or design change, it will be reviewed and updated accordingly.</w:t>
      </w:r>
    </w:p>
    <w:p>
      <w:pPr>
        <w:spacing w:after="0" w:before="160"/>
      </w:pPr>
      <w:r>
        <w:rPr>
          <w:rFonts w:ascii="Arial" w:cs="Arial" w:eastAsia="Arial" w:hAnsi="Arial"/>
          <w:b/>
          <w:bCs/>
          <w:color w:val="1B3A61"/>
          <w:sz w:val="19"/>
          <w:szCs w:val="19"/>
        </w:rPr>
        <w:t xml:space="preserve">Declared and signed by:</w:t>
      </w:r>
    </w:p>
    <w:p>
      <w:pPr>
        <w:spacing w:after="0" w:before="40"/>
      </w:pPr>
      <w:r>
        <w:drawing>
          <wp:inline distT="0" distB="0" distL="0" distR="0">
            <wp:extent cx="1428750" cy="1123950"/>
            <wp:effectExtent t="0" r="0" b="0" l="0"/>
            <wp:docPr id="1" name="signature" descr="Eduard Takhunts signature" title="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428750" cy="1123950"/>
                    </a:xfrm>
                    <a:prstGeom prst="rect">
                      <a:avLst/>
                    </a:prstGeom>
                  </pic:spPr>
                </pic:pic>
              </a:graphicData>
            </a:graphic>
          </wp:inline>
        </w:drawing>
      </w:r>
    </w:p>
    <w:p>
      <w:pPr>
        <w:pBdr>
          <w:top w:val="single" w:color="888888" w:sz="6" w:space="2"/>
        </w:pBdr>
        <w:spacing w:after="0"/>
      </w:pPr>
      <w:r>
        <w:rPr>
          <w:rFonts w:ascii="Arial" w:cs="Arial" w:eastAsia="Arial" w:hAnsi="Arial"/>
          <w:b/>
          <w:bCs/>
          <w:sz w:val="20"/>
          <w:szCs w:val="20"/>
        </w:rPr>
        <w:t xml:space="preserve">Eduard Takhunts</w:t>
      </w:r>
    </w:p>
    <w:p>
      <w:pPr>
        <w:spacing w:after="0"/>
      </w:pPr>
      <w:r>
        <w:rPr>
          <w:rFonts w:ascii="Arial" w:cs="Arial" w:eastAsia="Arial" w:hAnsi="Arial"/>
          <w:color w:val="333333"/>
          <w:sz w:val="19"/>
          <w:szCs w:val="19"/>
        </w:rPr>
        <w:t xml:space="preserve">Founder &amp; Managing Member, Eldercare Robotics LLC</w:t>
      </w:r>
    </w:p>
    <w:p>
      <w:pPr>
        <w:spacing w:after="120" w:before="30"/>
      </w:pPr>
      <w:r>
        <w:rPr>
          <w:rFonts w:ascii="Arial" w:cs="Arial" w:eastAsia="Arial" w:hAnsi="Arial"/>
          <w:b/>
          <w:bCs/>
          <w:sz w:val="20"/>
          <w:szCs w:val="20"/>
        </w:rPr>
        <w:t xml:space="preserve">Date: June 19, 2026</w:t>
      </w:r>
    </w:p>
    <w:p>
      <w:r>
        <w:br w:type="page"/>
      </w:r>
    </w:p>
    <w:p>
      <w:pPr>
        <w:pBdr>
          <w:bottom w:val="single" w:color="B88A13" w:sz="18" w:space="2"/>
        </w:pBdr>
        <w:shd w:fill="1B3A61" w:color="auto" w:val="clear"/>
        <w:spacing w:after="0" w:before="260"/>
      </w:pPr>
      <w:r>
        <w:rPr>
          <w:rFonts w:ascii="Arial" w:cs="Arial" w:eastAsia="Arial" w:hAnsi="Arial"/>
          <w:b/>
          <w:bCs/>
          <w:color w:val="B88A13"/>
          <w:sz w:val="26"/>
          <w:szCs w:val="26"/>
        </w:rPr>
        <w:t xml:space="preserve">Appendix C   </w:t>
      </w:r>
      <w:r>
        <w:rPr>
          <w:rFonts w:ascii="Arial" w:cs="Arial" w:eastAsia="Arial" w:hAnsi="Arial"/>
          <w:b/>
          <w:bCs/>
          <w:color w:val="FFFFFF"/>
          <w:sz w:val="26"/>
          <w:szCs w:val="26"/>
        </w:rPr>
        <w:t xml:space="preserve">HIPAA Business Associate Agreement Template</w:t>
      </w:r>
    </w:p>
    <w:p>
      <w:pPr>
        <w:pBdr>
          <w:bottom w:val="single" w:color="B88A13" w:sz="18" w:space="2"/>
        </w:pBdr>
        <w:shd w:fill="1B3A61" w:color="auto" w:val="clear"/>
        <w:spacing w:after="120" w:before="0"/>
      </w:pPr>
      <w:r>
        <w:rPr>
          <w:rFonts w:ascii="Arial" w:cs="Arial" w:eastAsia="Arial" w:hAnsi="Arial"/>
          <w:i/>
          <w:iCs/>
          <w:color w:val="F7EFE1"/>
          <w:sz w:val="19"/>
          <w:szCs w:val="19"/>
        </w:rPr>
        <w:t xml:space="preserve">Ready for legal-counsel review and execution with each facility</w:t>
      </w:r>
    </w:p>
    <w:p>
      <w:pPr>
        <w:pBdr>
          <w:top w:val="single" w:color="B88A13" w:sz="6" w:space="4"/>
          <w:bottom w:val="single" w:color="B88A13" w:sz="6" w:space="4"/>
        </w:pBdr>
        <w:shd w:fill="EFE4CF" w:color="auto" w:val="clear"/>
        <w:spacing w:after="120" w:before="120"/>
      </w:pPr>
      <w:r>
        <w:rPr>
          <w:rFonts w:ascii="Arial" w:cs="Arial" w:eastAsia="Arial" w:hAnsi="Arial"/>
          <w:color w:val="1B3A61"/>
          <w:sz w:val="19"/>
          <w:szCs w:val="19"/>
        </w:rPr>
        <w:t xml:space="preserve">This template is ready for your legal counsel to review before execution. Contact info@eldercarerobotics.net to initiate the BAA process for your facility.</w:t>
      </w:r>
    </w:p>
    <w:p>
      <w:pPr>
        <w:spacing w:after="120"/>
      </w:pPr>
      <w:r>
        <w:rPr>
          <w:sz w:val="20"/>
          <w:szCs w:val="20"/>
        </w:rPr>
        <w:t xml:space="preserve">This Business Associate Agreement (“BAA”) is entered into as of the date signed (“Effective Date”) by and between: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900"/>
        <w:gridCol w:w="6460"/>
      </w:tblGrid>
      <w:tr>
        <w:tc>
          <w:tcPr>
            <w:tcW w:type="dxa" w:w="29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bCs/>
                <w:color w:val="1B3A61"/>
                <w:sz w:val="19"/>
                <w:szCs w:val="19"/>
              </w:rPr>
              <w:t xml:space="preserve">Covered Entity (CE)</w:t>
            </w:r>
          </w:p>
        </w:tc>
        <w:tc>
          <w:tcPr>
            <w:tcW w:type="dxa" w:w="64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[FACILITY NAME], a [state] [entity type], with principal offices at [address]</w:t>
            </w:r>
          </w:p>
        </w:tc>
      </w:tr>
      <w:tr>
        <w:tc>
          <w:tcPr>
            <w:tcW w:type="dxa" w:w="29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bCs/>
                <w:color w:val="1B3A61"/>
                <w:sz w:val="19"/>
                <w:szCs w:val="19"/>
              </w:rPr>
              <w:t xml:space="preserve">Business Associate (BA)</w:t>
            </w:r>
          </w:p>
        </w:tc>
        <w:tc>
          <w:tcPr>
            <w:tcW w:type="dxa" w:w="64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Eldercare Robotics LLC, a Maryland limited liability company, Rockville, Maryland, USA</w:t>
            </w:r>
          </w:p>
        </w:tc>
      </w:tr>
    </w:tbl>
    <w:p>
      <w:pPr>
        <w:spacing w:after="80" w:before="200"/>
      </w:pPr>
      <w:r>
        <w:rPr>
          <w:rFonts w:ascii="Arial" w:cs="Arial" w:eastAsia="Arial" w:hAnsi="Arial"/>
          <w:b/>
          <w:bCs/>
          <w:color w:val="1B3A61"/>
          <w:sz w:val="23"/>
          <w:szCs w:val="23"/>
        </w:rPr>
        <w:t xml:space="preserve">Key Provisions</w:t>
      </w:r>
    </w:p>
    <w:p>
      <w:pPr>
        <w:pStyle w:val="ListParagraph"/>
        <w:numPr>
          <w:ilvl w:val="0"/>
          <w:numId w:val="2"/>
        </w:numPr>
        <w:spacing w:after="60"/>
      </w:pPr>
      <w:r>
        <w:t xml:space="preserve">Permitted Uses — PHI used only to provide Luka Bear device and caregiver platform services, as required by law, or for proper management of BA services.</w:t>
      </w:r>
    </w:p>
    <w:p>
      <w:pPr>
        <w:pStyle w:val="ListParagraph"/>
        <w:numPr>
          <w:ilvl w:val="0"/>
          <w:numId w:val="2"/>
        </w:numPr>
        <w:spacing w:after="60"/>
      </w:pPr>
      <w:r>
        <w:t xml:space="preserve">Prohibited Uses — no use of PHI for marketing; no sale of PHI without authorization.</w:t>
      </w:r>
    </w:p>
    <w:p>
      <w:pPr>
        <w:pStyle w:val="ListParagraph"/>
        <w:numPr>
          <w:ilvl w:val="0"/>
          <w:numId w:val="2"/>
        </w:numPr>
        <w:spacing w:after="60"/>
      </w:pPr>
      <w:r>
        <w:t xml:space="preserve">Safeguards — TLS 1.2+ in transit (WireGuard/Tailscale mesh for the app link); AES-256 at rest; RBAC; MFA; subcontractors (including the voice-synthesis subprocessor) bound by equivalent restrictions.</w:t>
      </w:r>
    </w:p>
    <w:p>
      <w:pPr>
        <w:pStyle w:val="ListParagraph"/>
        <w:numPr>
          <w:ilvl w:val="0"/>
          <w:numId w:val="2"/>
        </w:numPr>
        <w:spacing w:after="60"/>
      </w:pPr>
      <w:r>
        <w:t xml:space="preserve">Breach Notification — CE notified without unreasonable delay and no later than 30 calendar days of discovery, with identity of affected individuals, description, and mitigation steps (45 CFR § 164.410).</w:t>
      </w:r>
    </w:p>
    <w:p>
      <w:pPr>
        <w:pStyle w:val="ListParagraph"/>
        <w:numPr>
          <w:ilvl w:val="0"/>
          <w:numId w:val="2"/>
        </w:numPr>
        <w:spacing w:after="60"/>
      </w:pPr>
      <w:r>
        <w:t xml:space="preserve">Access &amp; Amendment — PHI access provided within a reasonable time; amendments incorporated; disclosures documented per 45 CFR § 164.528.</w:t>
      </w:r>
    </w:p>
    <w:p>
      <w:pPr>
        <w:pStyle w:val="ListParagraph"/>
        <w:numPr>
          <w:ilvl w:val="0"/>
          <w:numId w:val="2"/>
        </w:numPr>
        <w:spacing w:after="60"/>
      </w:pPr>
      <w:r>
        <w:t xml:space="preserve">Termination — either party may terminate for material breach uncured within 30 days of notice; PHI returned or destroyed, with protections extending if return/destruction is not feasible.</w:t>
      </w:r>
    </w:p>
    <w:p>
      <w:pPr>
        <w:pStyle w:val="ListParagraph"/>
        <w:numPr>
          <w:ilvl w:val="0"/>
          <w:numId w:val="2"/>
        </w:numPr>
        <w:spacing w:after="60"/>
      </w:pPr>
      <w:r>
        <w:t xml:space="preserve">Governing Law — State of Maryland.</w:t>
      </w:r>
    </w:p>
    <w:p>
      <w:pPr>
        <w:spacing w:after="80" w:before="200"/>
      </w:pPr>
      <w:r>
        <w:rPr>
          <w:rFonts w:ascii="Arial" w:cs="Arial" w:eastAsia="Arial" w:hAnsi="Arial"/>
          <w:b/>
          <w:bCs/>
          <w:color w:val="1B3A61"/>
          <w:sz w:val="23"/>
          <w:szCs w:val="23"/>
        </w:rPr>
        <w:t xml:space="preserve">Signatures</w:t>
      </w:r>
    </w:p>
    <w:p>
      <w:pPr>
        <w:spacing w:after="120"/>
      </w:pPr>
      <w:r>
        <w:rPr>
          <w:b/>
          <w:bCs/>
          <w:color w:val="1B3A61"/>
          <w:sz w:val="19"/>
          <w:szCs w:val="19"/>
        </w:rPr>
        <w:t xml:space="preserve">Covered Entity (facility) — to be completed on execution:</w:t>
      </w:r>
    </w:p>
    <w:p>
      <w:pPr>
        <w:spacing w:after="30" w:before="200"/>
      </w:pPr>
      <w:r>
        <w:rPr>
          <w:rFonts w:ascii="Arial" w:cs="Arial" w:eastAsia="Arial" w:hAnsi="Arial"/>
          <w:b/>
          <w:bCs/>
          <w:sz w:val="20"/>
          <w:szCs w:val="20"/>
        </w:rPr>
        <w:t xml:space="preserve">Signature: </w:t>
      </w:r>
      <w:r>
        <w:rPr>
          <w:rFonts w:ascii="Arial" w:cs="Arial" w:eastAsia="Arial" w:hAnsi="Arial"/>
          <w:color w:val="888888"/>
          <w:sz w:val="20"/>
          <w:szCs w:val="20"/>
        </w:rPr>
        <w:t xml:space="preserve">______________________________________</w:t>
      </w:r>
    </w:p>
    <w:p>
      <w:pPr>
        <w:spacing w:after="0"/>
      </w:pPr>
      <w:r>
        <w:rPr>
          <w:rFonts w:ascii="Arial" w:cs="Arial" w:eastAsia="Arial" w:hAnsi="Arial"/>
          <w:b/>
          <w:bCs/>
          <w:sz w:val="20"/>
          <w:szCs w:val="20"/>
        </w:rPr>
        <w:t xml:space="preserve">Name: __________________________________</w:t>
      </w:r>
    </w:p>
    <w:p>
      <w:pPr>
        <w:spacing w:after="0"/>
      </w:pPr>
      <w:r>
        <w:rPr>
          <w:rFonts w:ascii="Arial" w:cs="Arial" w:eastAsia="Arial" w:hAnsi="Arial"/>
          <w:color w:val="333333"/>
          <w:sz w:val="19"/>
          <w:szCs w:val="19"/>
        </w:rPr>
        <w:t xml:space="preserve">Title: _______________________   Organization: __________________________</w:t>
      </w:r>
    </w:p>
    <w:p>
      <w:pPr>
        <w:spacing w:after="120" w:before="30"/>
      </w:pPr>
      <w:r>
        <w:rPr>
          <w:rFonts w:ascii="Arial" w:cs="Arial" w:eastAsia="Arial" w:hAnsi="Arial"/>
          <w:b/>
          <w:bCs/>
          <w:sz w:val="20"/>
          <w:szCs w:val="20"/>
        </w:rPr>
        <w:t xml:space="preserve">Date: </w:t>
      </w:r>
      <w:r>
        <w:rPr>
          <w:rFonts w:ascii="Arial" w:cs="Arial" w:eastAsia="Arial" w:hAnsi="Arial"/>
          <w:color w:val="888888"/>
          <w:sz w:val="20"/>
          <w:szCs w:val="20"/>
        </w:rPr>
        <w:t xml:space="preserve">___________________</w:t>
      </w:r>
    </w:p>
    <w:p>
      <w:pPr>
        <w:spacing w:after="120"/>
      </w:pPr>
      <w:r>
        <w:rPr>
          <w:b/>
          <w:bCs/>
          <w:color w:val="1B3A61"/>
          <w:sz w:val="19"/>
          <w:szCs w:val="19"/>
        </w:rPr>
        <w:t xml:space="preserve">Business Associate:</w:t>
      </w:r>
    </w:p>
    <w:p>
      <w:pPr>
        <w:spacing w:after="0" w:before="160"/>
      </w:pPr>
      <w:r>
        <w:rPr>
          <w:rFonts w:ascii="Arial" w:cs="Arial" w:eastAsia="Arial" w:hAnsi="Arial"/>
          <w:b/>
          <w:bCs/>
          <w:color w:val="1B3A61"/>
          <w:sz w:val="19"/>
          <w:szCs w:val="19"/>
        </w:rPr>
        <w:t xml:space="preserve">Declared and signed by:</w:t>
      </w:r>
    </w:p>
    <w:p>
      <w:pPr>
        <w:spacing w:after="0" w:before="40"/>
      </w:pPr>
      <w:r>
        <w:drawing>
          <wp:inline distT="0" distB="0" distL="0" distR="0">
            <wp:extent cx="1428750" cy="1123950"/>
            <wp:effectExtent t="0" r="0" b="0" l="0"/>
            <wp:docPr id="1" name="signature" descr="Eduard Takhunts signature" title="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428750" cy="1123950"/>
                    </a:xfrm>
                    <a:prstGeom prst="rect">
                      <a:avLst/>
                    </a:prstGeom>
                  </pic:spPr>
                </pic:pic>
              </a:graphicData>
            </a:graphic>
          </wp:inline>
        </w:drawing>
      </w:r>
    </w:p>
    <w:p>
      <w:pPr>
        <w:pBdr>
          <w:top w:val="single" w:color="888888" w:sz="6" w:space="2"/>
        </w:pBdr>
        <w:spacing w:after="0"/>
      </w:pPr>
      <w:r>
        <w:rPr>
          <w:rFonts w:ascii="Arial" w:cs="Arial" w:eastAsia="Arial" w:hAnsi="Arial"/>
          <w:b/>
          <w:bCs/>
          <w:sz w:val="20"/>
          <w:szCs w:val="20"/>
        </w:rPr>
        <w:t xml:space="preserve">Eduard Takhunts</w:t>
      </w:r>
    </w:p>
    <w:p>
      <w:pPr>
        <w:spacing w:after="0"/>
      </w:pPr>
      <w:r>
        <w:rPr>
          <w:rFonts w:ascii="Arial" w:cs="Arial" w:eastAsia="Arial" w:hAnsi="Arial"/>
          <w:color w:val="333333"/>
          <w:sz w:val="19"/>
          <w:szCs w:val="19"/>
        </w:rPr>
        <w:t xml:space="preserve">Founder &amp; Managing Member, Eldercare Robotics LLC</w:t>
      </w:r>
    </w:p>
    <w:p>
      <w:pPr>
        <w:spacing w:after="120" w:before="30"/>
      </w:pPr>
      <w:r>
        <w:rPr>
          <w:rFonts w:ascii="Arial" w:cs="Arial" w:eastAsia="Arial" w:hAnsi="Arial"/>
          <w:b/>
          <w:bCs/>
          <w:sz w:val="20"/>
          <w:szCs w:val="20"/>
        </w:rPr>
        <w:t xml:space="preserve">Date: June 19, 2026</w:t>
      </w:r>
    </w:p>
    <w:p>
      <w:r>
        <w:br w:type="page"/>
      </w:r>
    </w:p>
    <w:p>
      <w:pPr>
        <w:pBdr>
          <w:bottom w:val="single" w:color="B88A13" w:sz="18" w:space="2"/>
        </w:pBdr>
        <w:shd w:fill="1B3A61" w:color="auto" w:val="clear"/>
        <w:spacing w:after="0" w:before="260"/>
      </w:pPr>
      <w:r>
        <w:rPr>
          <w:rFonts w:ascii="Arial" w:cs="Arial" w:eastAsia="Arial" w:hAnsi="Arial"/>
          <w:b/>
          <w:bCs/>
          <w:color w:val="B88A13"/>
          <w:sz w:val="26"/>
          <w:szCs w:val="26"/>
        </w:rPr>
        <w:t xml:space="preserve">Appendix D   </w:t>
      </w:r>
      <w:r>
        <w:rPr>
          <w:rFonts w:ascii="Arial" w:cs="Arial" w:eastAsia="Arial" w:hAnsi="Arial"/>
          <w:b/>
          <w:bCs/>
          <w:color w:val="FFFFFF"/>
          <w:sz w:val="26"/>
          <w:szCs w:val="26"/>
        </w:rPr>
        <w:t xml:space="preserve">Certificate &amp; Document Reference Index</w:t>
      </w:r>
    </w:p>
    <w:p>
      <w:pPr>
        <w:pBdr>
          <w:bottom w:val="single" w:color="B88A13" w:sz="18" w:space="2"/>
        </w:pBdr>
        <w:shd w:fill="1B3A61" w:color="auto" w:val="clear"/>
        <w:spacing w:after="120" w:before="0"/>
      </w:pPr>
      <w:r>
        <w:rPr>
          <w:rFonts w:ascii="Arial" w:cs="Arial" w:eastAsia="Arial" w:hAnsi="Arial"/>
          <w:i/>
          <w:iCs/>
          <w:color w:val="F7EFE1"/>
          <w:sz w:val="19"/>
          <w:szCs w:val="19"/>
        </w:rPr>
        <w:t xml:space="preserve">All compliance documents in this portfolio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00"/>
        <w:gridCol w:w="4760"/>
        <w:gridCol w:w="1300"/>
      </w:tblGrid>
      <w:tr>
        <w:trPr>
          <w:tblHeader/>
        </w:trPr>
        <w:tc>
          <w:tcPr>
            <w:tcW w:type="dxa" w:w="3300"/>
            <w:tcBorders>
              <w:top w:val="single" w:color="CCCCCC" w:sz="1"/>
              <w:left w:val="single" w:color="CCCCCC" w:sz="1"/>
              <w:bottom w:val="single" w:color="CCCCCC" w:sz="1"/>
              <w:right w:val="single" w:color="CCCCCC" w:sz="1"/>
            </w:tcBorders>
            <w:shd w:fill="1B3A61" w:color="auto" w:val="clear"/>
            <w:tcMar>
              <w:top w:type="dxa" w:w="70"/>
              <w:left w:type="dxa" w:w="110"/>
              <w:bottom w:type="dxa" w:w="70"/>
              <w:right w:type="dxa" w:w="110"/>
            </w:tcMar>
          </w:tcPr>
          <w:p>
            <w:r>
              <w:rPr>
                <w:rFonts w:ascii="Arial" w:cs="Arial" w:eastAsia="Arial" w:hAnsi="Arial"/>
                <w:b/>
                <w:bCs/>
                <w:color w:val="FFFFFF"/>
                <w:sz w:val="19"/>
                <w:szCs w:val="19"/>
              </w:rPr>
              <w:t xml:space="preserve">Document / File</w:t>
            </w:r>
          </w:p>
        </w:tc>
        <w:tc>
          <w:tcPr>
            <w:tcW w:type="dxa" w:w="4760"/>
            <w:tcBorders>
              <w:top w:val="single" w:color="CCCCCC" w:sz="1"/>
              <w:left w:val="single" w:color="CCCCCC" w:sz="1"/>
              <w:bottom w:val="single" w:color="CCCCCC" w:sz="1"/>
              <w:right w:val="single" w:color="CCCCCC" w:sz="1"/>
            </w:tcBorders>
            <w:shd w:fill="1B3A61" w:color="auto" w:val="clear"/>
            <w:tcMar>
              <w:top w:type="dxa" w:w="70"/>
              <w:left w:type="dxa" w:w="110"/>
              <w:bottom w:type="dxa" w:w="70"/>
              <w:right w:type="dxa" w:w="110"/>
            </w:tcMar>
          </w:tcPr>
          <w:p>
            <w:r>
              <w:rPr>
                <w:rFonts w:ascii="Arial" w:cs="Arial" w:eastAsia="Arial" w:hAnsi="Arial"/>
                <w:b/>
                <w:bCs/>
                <w:color w:val="FFFFFF"/>
                <w:sz w:val="19"/>
                <w:szCs w:val="19"/>
              </w:rPr>
              <w:t xml:space="preserve">Scope</w:t>
            </w:r>
          </w:p>
        </w:tc>
        <w:tc>
          <w:tcPr>
            <w:tcW w:type="dxa" w:w="1300"/>
            <w:tcBorders>
              <w:top w:val="single" w:color="CCCCCC" w:sz="1"/>
              <w:left w:val="single" w:color="CCCCCC" w:sz="1"/>
              <w:bottom w:val="single" w:color="CCCCCC" w:sz="1"/>
              <w:right w:val="single" w:color="CCCCCC" w:sz="1"/>
            </w:tcBorders>
            <w:shd w:fill="1B3A61" w:color="auto" w:val="clear"/>
            <w:tcMar>
              <w:top w:type="dxa" w:w="70"/>
              <w:left w:type="dxa" w:w="110"/>
              <w:bottom w:type="dxa" w:w="70"/>
              <w:right w:type="dxa" w:w="110"/>
            </w:tcMar>
          </w:tcPr>
          <w:p>
            <w:r>
              <w:rPr>
                <w:rFonts w:ascii="Arial" w:cs="Arial" w:eastAsia="Arial" w:hAnsi="Arial"/>
                <w:b/>
                <w:bCs/>
                <w:color w:val="FFFFFF"/>
                <w:sz w:val="19"/>
                <w:szCs w:val="19"/>
              </w:rPr>
              <w:t xml:space="preserve">Status</w:t>
            </w:r>
          </w:p>
        </w:tc>
      </w:tr>
      <w:tr>
        <w:tc>
          <w:tcPr>
            <w:tcW w:type="dxa" w:w="33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CE-TB190120895-Kenowa.pdf</w:t>
            </w:r>
          </w:p>
        </w:tc>
        <w:tc>
          <w:tcPr>
            <w:tcW w:type="dxa" w:w="47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CE RoHS — Kenowa HD-133 display</w:t>
            </w:r>
          </w:p>
        </w:tc>
        <w:tc>
          <w:tcPr>
            <w:tcW w:type="dxa" w:w="13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w:t>
            </w:r>
          </w:p>
        </w:tc>
      </w:tr>
      <w:tr>
        <w:tc>
          <w:tcPr>
            <w:tcW w:type="dxa" w:w="33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Kenowa-CE-EMC.pdf</w:t>
            </w:r>
          </w:p>
        </w:tc>
        <w:tc>
          <w:tcPr>
            <w:tcW w:type="dxa" w:w="47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CE EMC (EN55032/55024) — TB190120863</w:t>
            </w:r>
          </w:p>
        </w:tc>
        <w:tc>
          <w:tcPr>
            <w:tcW w:type="dxa" w:w="13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w:t>
            </w:r>
          </w:p>
        </w:tc>
      </w:tr>
      <w:tr>
        <w:tc>
          <w:tcPr>
            <w:tcW w:type="dxa" w:w="33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FCC ID Raspberry</w:t>
            </w:r>
          </w:p>
        </w:tc>
        <w:tc>
          <w:tcPr>
            <w:tcW w:type="dxa" w:w="47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FCC Grant 2ABCB-RPI4B — Raspberry Pi 4B</w:t>
            </w:r>
          </w:p>
        </w:tc>
        <w:tc>
          <w:tcPr>
            <w:tcW w:type="dxa" w:w="13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w:t>
            </w:r>
          </w:p>
        </w:tc>
      </w:tr>
      <w:tr>
        <w:tc>
          <w:tcPr>
            <w:tcW w:type="dxa" w:w="33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FCC ID Jabra (BZ6-JABRA410)</w:t>
            </w:r>
          </w:p>
        </w:tc>
        <w:tc>
          <w:tcPr>
            <w:tcW w:type="dxa" w:w="47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FCC Grant — Jabra Speak 410</w:t>
            </w:r>
          </w:p>
        </w:tc>
        <w:tc>
          <w:tcPr>
            <w:tcW w:type="dxa" w:w="13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Update file</w:t>
            </w:r>
          </w:p>
        </w:tc>
      </w:tr>
      <w:tr>
        <w:tc>
          <w:tcPr>
            <w:tcW w:type="dxa" w:w="33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WebCam DoC AGY-700.pdf</w:t>
            </w:r>
          </w:p>
        </w:tc>
        <w:tc>
          <w:tcPr>
            <w:tcW w:type="dxa" w:w="47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FCC DoC (Logitech C270 / V-U0015)</w:t>
            </w:r>
          </w:p>
        </w:tc>
        <w:tc>
          <w:tcPr>
            <w:tcW w:type="dxa" w:w="13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w:t>
            </w:r>
          </w:p>
        </w:tc>
      </w:tr>
      <w:tr>
        <w:tc>
          <w:tcPr>
            <w:tcW w:type="dxa" w:w="33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Appendix A — Declaration of Conformity</w:t>
            </w:r>
          </w:p>
        </w:tc>
        <w:tc>
          <w:tcPr>
            <w:tcW w:type="dxa" w:w="47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Full device DoC — signed (June 19, 2026)</w:t>
            </w:r>
          </w:p>
        </w:tc>
        <w:tc>
          <w:tcPr>
            <w:tcW w:type="dxa" w:w="13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 Signed</w:t>
            </w:r>
          </w:p>
        </w:tc>
      </w:tr>
      <w:tr>
        <w:tc>
          <w:tcPr>
            <w:tcW w:type="dxa" w:w="33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Appendix B — FDA Self-Declaration</w:t>
            </w:r>
          </w:p>
        </w:tc>
        <w:tc>
          <w:tcPr>
            <w:tcW w:type="dxa" w:w="47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Non-Medical Device Declaration — signed (June 19, 2026)</w:t>
            </w:r>
          </w:p>
        </w:tc>
        <w:tc>
          <w:tcPr>
            <w:tcW w:type="dxa" w:w="13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 Signed</w:t>
            </w:r>
          </w:p>
        </w:tc>
      </w:tr>
      <w:tr>
        <w:tc>
          <w:tcPr>
            <w:tcW w:type="dxa" w:w="33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Appendix C — HIPAA BAA Template</w:t>
            </w:r>
          </w:p>
        </w:tc>
        <w:tc>
          <w:tcPr>
            <w:tcW w:type="dxa" w:w="47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Business Associate Agreement — execute per facility</w:t>
            </w:r>
          </w:p>
        </w:tc>
        <w:tc>
          <w:tcPr>
            <w:tcW w:type="dxa" w:w="13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w:t>
            </w:r>
          </w:p>
        </w:tc>
      </w:tr>
      <w:tr>
        <w:tc>
          <w:tcPr>
            <w:tcW w:type="dxa" w:w="33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LTC Documentation Package</w:t>
            </w:r>
          </w:p>
        </w:tc>
        <w:tc>
          <w:tcPr>
            <w:tcW w:type="dxa" w:w="47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Physician LoMN templates</w:t>
            </w:r>
          </w:p>
        </w:tc>
        <w:tc>
          <w:tcPr>
            <w:tcW w:type="dxa" w:w="13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w:t>
            </w:r>
          </w:p>
        </w:tc>
      </w:tr>
      <w:tr>
        <w:tc>
          <w:tcPr>
            <w:tcW w:type="dxa" w:w="33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Caregiver Manual v3</w:t>
            </w:r>
          </w:p>
        </w:tc>
        <w:tc>
          <w:tcPr>
            <w:tcW w:type="dxa" w:w="476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End-user documentation</w:t>
            </w:r>
          </w:p>
        </w:tc>
        <w:tc>
          <w:tcPr>
            <w:tcW w:type="dxa" w:w="1300"/>
            <w:tcBorders>
              <w:top w:val="single" w:color="CCCCCC" w:sz="1"/>
              <w:left w:val="single" w:color="CCCCCC" w:sz="1"/>
              <w:bottom w:val="single" w:color="CCCCCC" w:sz="1"/>
              <w:right w:val="single" w:color="CCCCCC" w:sz="1"/>
            </w:tcBorders>
            <w:shd w:fill="F6F1E6"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w:t>
            </w:r>
          </w:p>
        </w:tc>
      </w:tr>
      <w:tr>
        <w:tc>
          <w:tcPr>
            <w:tcW w:type="dxa" w:w="33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Privacy Policy (online)</w:t>
            </w:r>
          </w:p>
        </w:tc>
        <w:tc>
          <w:tcPr>
            <w:tcW w:type="dxa" w:w="476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eldercarerobotics.net/privacy-policy/</w:t>
            </w:r>
          </w:p>
        </w:tc>
        <w:tc>
          <w:tcPr>
            <w:tcW w:type="dxa" w:w="1300"/>
            <w:tcBorders>
              <w:top w:val="single" w:color="CCCCCC" w:sz="1"/>
              <w:left w:val="single" w:color="CCCCCC" w:sz="1"/>
              <w:bottom w:val="single" w:color="CCCCCC" w:sz="1"/>
              <w:right w:val="single" w:color="CCCCCC" w:sz="1"/>
            </w:tcBorders>
            <w:shd w:fill="FFFFFF" w:color="auto" w:val="clear"/>
            <w:tcMar>
              <w:top w:type="dxa" w:w="70"/>
              <w:left w:type="dxa" w:w="110"/>
              <w:bottom w:type="dxa" w:w="70"/>
              <w:right w:type="dxa" w:w="110"/>
            </w:tcMar>
          </w:tcPr>
          <w:p>
            <w:r>
              <w:rPr>
                <w:rFonts w:ascii="Arial" w:cs="Arial" w:eastAsia="Arial" w:hAnsi="Arial"/>
                <w:b w:val="false"/>
                <w:bCs w:val="false"/>
                <w:color w:val="222222"/>
                <w:sz w:val="19"/>
                <w:szCs w:val="19"/>
              </w:rPr>
              <w:t xml:space="preserve">✓</w:t>
            </w:r>
          </w:p>
        </w:tc>
      </w:tr>
    </w:tbl>
    <w:p>
      <w:pPr>
        <w:pBdr>
          <w:top w:val="single" w:color="B88A13" w:sz="18" w:space="4"/>
          <w:bottom w:val="single" w:color="B88A13" w:sz="18" w:space="4"/>
        </w:pBdr>
        <w:shd w:fill="1B3A61" w:color="auto" w:val="clear"/>
        <w:spacing w:after="120" w:before="300"/>
        <w:jc w:val="center"/>
      </w:pPr>
      <w:r>
        <w:rPr>
          <w:rFonts w:ascii="Arial" w:cs="Arial" w:eastAsia="Arial" w:hAnsi="Arial"/>
          <w:b/>
          <w:bCs/>
          <w:color w:val="FFFFFF"/>
          <w:sz w:val="18"/>
          <w:szCs w:val="18"/>
        </w:rPr>
        <w:t>END OF LUKA BEAR COMPLIANCE &amp; CERTIFICATION PORTFOLIO — VERSION 2.1 · JULY 4, 2026</w:t>
      </w:r>
    </w:p>
    <w:p>
      <w:pPr>
        <w:spacing w:after="40"/>
        <w:jc w:val="center"/>
      </w:pPr>
      <w:r>
        <w:rPr>
          <w:rFonts w:ascii="Arial" w:cs="Arial" w:eastAsia="Arial" w:hAnsi="Arial"/>
          <w:color w:val="555555"/>
          <w:sz w:val="18"/>
          <w:szCs w:val="18"/>
        </w:rPr>
        <w:t xml:space="preserve">Eldercare Robotics LLC · Rockville, Maryland · info@eldercarerobotics.net</w:t>
      </w:r>
    </w:p>
    <w:p>
      <w:pPr>
        <w:jc w:val="center"/>
      </w:pPr>
      <w:r>
        <w:rPr>
          <w:rFonts w:ascii="Arial" w:cs="Arial" w:eastAsia="Arial" w:hAnsi="Arial"/>
          <w:color w:val="555555"/>
          <w:sz w:val="18"/>
          <w:szCs w:val="18"/>
        </w:rPr>
        <w:t xml:space="preserve">Support (413) 296-LUKA · Provider/Org line 202-422-2764</w:t>
      </w:r>
    </w:p>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20" w:hanging="260"/>
      </w:pPr>
    </w:lvl>
    <w:lvl w:ilvl="1" w15:tentative="1">
      <w:start w:val="1"/>
      <w:numFmt w:val="bullet"/>
      <w:lvlText w:val="◦"/>
      <w:lvlJc w:val="left"/>
      <w:pPr>
        <w:ind w:left="104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22222"/>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e23bf0ce4cb2c67a0753f596b76557e6d1023be8.png"/><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2026-06-21T03:16:50.056Z</dcterms:created>
  <dcterms:modified xsi:type="dcterms:W3CDTF">2026-06-21T03:16:50.060Z</dcterms:modified>
</cp:coreProperties>
</file>

<file path=docProps/custom.xml><?xml version="1.0" encoding="utf-8"?>
<Properties xmlns="http://schemas.openxmlformats.org/officeDocument/2006/custom-properties" xmlns:vt="http://schemas.openxmlformats.org/officeDocument/2006/docPropsVTypes"/>
</file>